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BC14" w14:textId="77777777" w:rsidR="00D67E55" w:rsidRDefault="00F266ED">
      <w:pPr>
        <w:spacing w:before="840"/>
      </w:pPr>
      <w:r>
        <w:rPr>
          <w:b/>
          <w:color w:val="1F4E5F"/>
          <w:sz w:val="48"/>
        </w:rPr>
        <w:t>Nach Miramistin</w:t>
      </w:r>
    </w:p>
    <w:p w14:paraId="7699465F" w14:textId="77777777" w:rsidR="00D67E55" w:rsidRDefault="00F266ED">
      <w:r>
        <w:rPr>
          <w:color w:val="555555"/>
          <w:sz w:val="22"/>
        </w:rPr>
        <w:t>Die Geschichte der Familie Gorokhov, ihrer Herkunft und ihres Unternehmens</w:t>
      </w:r>
    </w:p>
    <w:p w14:paraId="712D9522" w14:textId="77777777" w:rsidR="00D67E55" w:rsidRDefault="00F266ED">
      <w:pPr>
        <w:spacing w:before="480"/>
      </w:pPr>
      <w:r>
        <w:rPr>
          <w:color w:val="555555"/>
          <w:sz w:val="22"/>
        </w:rPr>
        <w:t>Memoiren von Evgeny Gorokhov</w:t>
      </w:r>
    </w:p>
    <w:p w14:paraId="7CBF2578" w14:textId="77777777" w:rsidR="00D67E55" w:rsidRDefault="00F266ED">
      <w:pPr>
        <w:spacing w:before="1200"/>
      </w:pPr>
      <w:r>
        <w:t>Endgültige Familienausgabe / Wien — 2026</w:t>
      </w:r>
    </w:p>
    <w:p w14:paraId="4C0D70FE" w14:textId="77777777" w:rsidR="00D67E55" w:rsidRDefault="00F266ED">
      <w:pPr>
        <w:pStyle w:val="21"/>
        <w:pageBreakBefore/>
        <w:jc w:val="both"/>
      </w:pPr>
      <w:r>
        <w:rPr>
          <w:rFonts w:ascii="Arial" w:hAnsi="Arial"/>
          <w:sz w:val="20"/>
        </w:rPr>
        <w:lastRenderedPageBreak/>
        <w:t>Für jene, die nach uns kommen</w:t>
      </w:r>
    </w:p>
    <w:p w14:paraId="3AB4989D" w14:textId="77777777" w:rsidR="00D67E55" w:rsidRDefault="00F266ED">
      <w:pPr>
        <w:pStyle w:val="SmallNote"/>
        <w:rPr>
          <w:rFonts w:hint="eastAsia"/>
        </w:rPr>
      </w:pPr>
      <w:r>
        <w:rPr>
          <w:rFonts w:ascii="Arial" w:hAnsi="Arial"/>
          <w:sz w:val="20"/>
        </w:rPr>
        <w:t>Der genealogische Teil dieser Familienausgabe stützt sich auf die fachliche Untersuchung des Projekts Leben (Moskau, 2019) und auf den im Familienarchiv aufbewahrten Familienstammbaum. Sofern nicht ausdrücklich anders angegeben, geben die Angaben zu lebenden Familienmitgliedern den Stand zum Zeitpunkt der Untersuchung von 2019 wieder.</w:t>
      </w:r>
    </w:p>
    <w:p w14:paraId="3D4F9ECB" w14:textId="77777777" w:rsidR="00D67E55" w:rsidRDefault="00F266ED">
      <w:pPr>
        <w:pStyle w:val="SmallNote"/>
        <w:rPr>
          <w:rFonts w:hint="eastAsia"/>
        </w:rPr>
      </w:pPr>
      <w:r>
        <w:rPr>
          <w:rFonts w:ascii="Arial" w:hAnsi="Arial"/>
          <w:sz w:val="20"/>
        </w:rPr>
        <w:t>Dieses Buch ist eine persönliche Erinnerungsschrift und eine dokumentierte Rekonstruktion. Es ist weder eine gerichtliche Entscheidung noch ein unabhängiges Gutachten. Ist ein Ereignis nicht durch eine Primärquelle belegt, wird es als Erinnerung, Position oder Hypothese des Autors dargestellt. Strittige Aussagen über Dritte bedürfen vor einer öffentlichen Veröffentlichung einer gesonderten rechtlichen Prüfung.</w:t>
      </w:r>
    </w:p>
    <w:p w14:paraId="328BB0D5" w14:textId="77777777" w:rsidR="00D67E55" w:rsidRDefault="00F266ED">
      <w:pPr>
        <w:pStyle w:val="SmallNote"/>
        <w:rPr>
          <w:rFonts w:hint="eastAsia"/>
        </w:rPr>
      </w:pPr>
      <w:r>
        <w:t>Position des Autors zu seiner Beziehung mit Andrey Gorokhov: Evgeny Gorokhov hat Andrey Gorokhov niemals zu irgendeiner Handlung gedrängt oder veranlasst. Der Autor weist jede andere Auslegung ihrer Kommunikation zurück.</w:t>
      </w:r>
    </w:p>
    <w:p w14:paraId="340BA21D" w14:textId="77777777" w:rsidR="00D67E55" w:rsidRDefault="00F266ED">
      <w:pPr>
        <w:pStyle w:val="1"/>
        <w:pageBreakBefore/>
        <w:jc w:val="both"/>
      </w:pPr>
      <w:r>
        <w:rPr>
          <w:rFonts w:ascii="Arial" w:hAnsi="Arial"/>
          <w:sz w:val="20"/>
        </w:rPr>
        <w:lastRenderedPageBreak/>
        <w:t>Inhaltsverzeichnis</w:t>
      </w:r>
    </w:p>
    <w:p w14:paraId="3D56F7FF" w14:textId="77777777" w:rsidR="00D67E55" w:rsidRDefault="00F266ED">
      <w:pPr>
        <w:pStyle w:val="1"/>
      </w:pPr>
      <w:r>
        <w:rPr>
          <w:rFonts w:ascii="Arial" w:hAnsi="Arial"/>
          <w:sz w:val="20"/>
        </w:rPr>
        <w:t>Teil I. Vor Miramistin: Familiengeschichte und Erinnerung</w:t>
      </w:r>
    </w:p>
    <w:p w14:paraId="4C74B3B9" w14:textId="77777777" w:rsidR="00D67E55" w:rsidRDefault="00F266ED">
      <w:pPr>
        <w:pStyle w:val="21"/>
      </w:pPr>
      <w:r>
        <w:rPr>
          <w:rFonts w:ascii="Arial" w:hAnsi="Arial"/>
          <w:sz w:val="20"/>
        </w:rPr>
        <w:t>1. Warum diese Geschichte mit Vorfahren beginnen sollte</w:t>
      </w:r>
    </w:p>
    <w:p w14:paraId="341FA1FD" w14:textId="77777777" w:rsidR="00D67E55" w:rsidRDefault="00F266ED">
      <w:pPr>
        <w:pStyle w:val="21"/>
      </w:pPr>
      <w:r>
        <w:rPr>
          <w:rFonts w:ascii="Arial" w:hAnsi="Arial"/>
          <w:sz w:val="20"/>
        </w:rPr>
        <w:t>2. Koltashi und Rezh: Der Ausgangspunkt</w:t>
      </w:r>
    </w:p>
    <w:p w14:paraId="3C964253" w14:textId="77777777" w:rsidR="00D67E55" w:rsidRDefault="00F266ED">
      <w:pPr>
        <w:pStyle w:val="21"/>
      </w:pPr>
      <w:r>
        <w:rPr>
          <w:rFonts w:ascii="Arial" w:hAnsi="Arial"/>
          <w:sz w:val="20"/>
        </w:rPr>
        <w:t>3. Alexey Ivanovich: Der Krieg, der eine Generation auslöschte</w:t>
      </w:r>
    </w:p>
    <w:p w14:paraId="6B7B34B4" w14:textId="77777777" w:rsidR="00D67E55" w:rsidRDefault="00F266ED">
      <w:pPr>
        <w:pStyle w:val="21"/>
      </w:pPr>
      <w:r>
        <w:rPr>
          <w:rFonts w:ascii="Arial" w:hAnsi="Arial"/>
          <w:sz w:val="20"/>
        </w:rPr>
        <w:t>4. Ivan Alexeyevich: Richter, Krieg und ein schwieriger Charakter</w:t>
      </w:r>
    </w:p>
    <w:p w14:paraId="70A1D353" w14:textId="77777777" w:rsidR="00D67E55" w:rsidRDefault="00F266ED">
      <w:pPr>
        <w:pStyle w:val="21"/>
      </w:pPr>
      <w:r>
        <w:rPr>
          <w:rFonts w:ascii="Arial" w:hAnsi="Arial"/>
          <w:sz w:val="20"/>
        </w:rPr>
        <w:t>5. Yuri Ivanovich: Die Geografie der Arbeit</w:t>
      </w:r>
    </w:p>
    <w:p w14:paraId="0B3513C3" w14:textId="77777777" w:rsidR="00D67E55" w:rsidRDefault="00F266ED">
      <w:pPr>
        <w:pStyle w:val="21"/>
      </w:pPr>
      <w:r>
        <w:rPr>
          <w:rFonts w:ascii="Arial" w:hAnsi="Arial"/>
          <w:sz w:val="20"/>
        </w:rPr>
        <w:t>6. Andrey Yuryevich: Vom Ingenieur zum Unternehmer und zu Miramistin</w:t>
      </w:r>
    </w:p>
    <w:p w14:paraId="0E43D604" w14:textId="77777777" w:rsidR="00D67E55" w:rsidRDefault="00F266ED">
      <w:pPr>
        <w:pStyle w:val="21"/>
      </w:pPr>
      <w:r>
        <w:rPr>
          <w:rFonts w:ascii="Arial" w:hAnsi="Arial"/>
          <w:sz w:val="20"/>
        </w:rPr>
        <w:t>7. Die Generation der Söhne: Ein Unternehmen, unterschiedliche Rollen</w:t>
      </w:r>
    </w:p>
    <w:p w14:paraId="5B761771" w14:textId="77777777" w:rsidR="00D67E55" w:rsidRDefault="00F266ED">
      <w:pPr>
        <w:pStyle w:val="21"/>
      </w:pPr>
      <w:r>
        <w:rPr>
          <w:rFonts w:ascii="Arial" w:hAnsi="Arial"/>
          <w:sz w:val="20"/>
        </w:rPr>
        <w:t>8. Fünf Familienzweige und eine gemeinsame Familienkarte</w:t>
      </w:r>
    </w:p>
    <w:p w14:paraId="5C6E2889" w14:textId="77777777" w:rsidR="00D67E55" w:rsidRDefault="00F266ED">
      <w:pPr>
        <w:pStyle w:val="21"/>
      </w:pPr>
      <w:r>
        <w:rPr>
          <w:rFonts w:ascii="Arial" w:hAnsi="Arial"/>
          <w:sz w:val="20"/>
        </w:rPr>
        <w:t>9. Was außer Vermögen vererbt wird</w:t>
      </w:r>
    </w:p>
    <w:p w14:paraId="0915EB7C" w14:textId="77777777" w:rsidR="00D67E55" w:rsidRDefault="00F266ED">
      <w:pPr>
        <w:pStyle w:val="21"/>
        <w:jc w:val="both"/>
      </w:pPr>
      <w:r>
        <w:rPr>
          <w:rFonts w:ascii="Arial" w:hAnsi="Arial"/>
          <w:sz w:val="20"/>
        </w:rPr>
        <w:t>Wer im wirtschaftlichen Teil dieser Geschichte welche Rolle spielt</w:t>
      </w:r>
    </w:p>
    <w:p w14:paraId="28F7B41D" w14:textId="77777777" w:rsidR="00D67E55" w:rsidRDefault="00F266ED">
      <w:pPr>
        <w:pStyle w:val="1"/>
      </w:pPr>
      <w:r>
        <w:rPr>
          <w:rFonts w:ascii="Arial" w:hAnsi="Arial"/>
          <w:sz w:val="20"/>
        </w:rPr>
        <w:t>Teil II. Bevor alles zum Geschäft wurde</w:t>
      </w:r>
    </w:p>
    <w:p w14:paraId="41C57BA0" w14:textId="77777777" w:rsidR="00D67E55" w:rsidRDefault="00F266ED">
      <w:pPr>
        <w:pStyle w:val="21"/>
      </w:pPr>
      <w:r>
        <w:rPr>
          <w:rFonts w:ascii="Arial" w:hAnsi="Arial"/>
          <w:sz w:val="20"/>
        </w:rPr>
        <w:t>10. Weshalb ich dies schreibe</w:t>
      </w:r>
    </w:p>
    <w:p w14:paraId="502480B7" w14:textId="77777777" w:rsidR="00D67E55" w:rsidRDefault="00F266ED">
      <w:pPr>
        <w:pStyle w:val="21"/>
      </w:pPr>
      <w:r>
        <w:rPr>
          <w:rFonts w:ascii="Arial" w:hAnsi="Arial"/>
          <w:sz w:val="20"/>
        </w:rPr>
        <w:t>11. Miramistin als Familiensystem</w:t>
      </w:r>
    </w:p>
    <w:p w14:paraId="236AD349" w14:textId="77777777" w:rsidR="00D67E55" w:rsidRDefault="00F266ED">
      <w:pPr>
        <w:pStyle w:val="21"/>
      </w:pPr>
      <w:r>
        <w:rPr>
          <w:rFonts w:ascii="Arial" w:hAnsi="Arial"/>
          <w:sz w:val="20"/>
        </w:rPr>
        <w:t>12. Meine Rolle und meine Verletzlichkeit</w:t>
      </w:r>
    </w:p>
    <w:p w14:paraId="54385316" w14:textId="77777777" w:rsidR="00D67E55" w:rsidRDefault="00F266ED">
      <w:pPr>
        <w:pStyle w:val="21"/>
      </w:pPr>
      <w:r>
        <w:rPr>
          <w:rFonts w:ascii="Arial" w:hAnsi="Arial"/>
          <w:sz w:val="20"/>
        </w:rPr>
        <w:t>12A. Team und Ergebnisse: 2023-2024</w:t>
      </w:r>
    </w:p>
    <w:p w14:paraId="0FD85C58" w14:textId="77777777" w:rsidR="00D67E55" w:rsidRDefault="00F266ED">
      <w:pPr>
        <w:pStyle w:val="21"/>
      </w:pPr>
      <w:r>
        <w:rPr>
          <w:rFonts w:ascii="Arial" w:hAnsi="Arial"/>
          <w:sz w:val="20"/>
        </w:rPr>
        <w:t>13. Wenn Vertrauen ein System ersetzt</w:t>
      </w:r>
    </w:p>
    <w:p w14:paraId="7A5B5E47" w14:textId="77777777" w:rsidR="00D67E55" w:rsidRDefault="00F266ED">
      <w:pPr>
        <w:pStyle w:val="21"/>
      </w:pPr>
      <w:r>
        <w:rPr>
          <w:rFonts w:ascii="Arial" w:hAnsi="Arial"/>
          <w:sz w:val="20"/>
        </w:rPr>
        <w:t>14. Was wir aufzubauen versuchten</w:t>
      </w:r>
    </w:p>
    <w:p w14:paraId="1E3CC07B" w14:textId="77777777" w:rsidR="00D67E55" w:rsidRDefault="00F266ED">
      <w:pPr>
        <w:pStyle w:val="21"/>
      </w:pPr>
      <w:r>
        <w:rPr>
          <w:rFonts w:ascii="Arial" w:hAnsi="Arial"/>
          <w:sz w:val="20"/>
        </w:rPr>
        <w:t>15. Geistiges Eigentum als Schwerpunkt</w:t>
      </w:r>
    </w:p>
    <w:p w14:paraId="1BB0FDBC" w14:textId="77777777" w:rsidR="00D67E55" w:rsidRDefault="00F266ED">
      <w:pPr>
        <w:pStyle w:val="21"/>
      </w:pPr>
      <w:r>
        <w:rPr>
          <w:rFonts w:ascii="Arial" w:hAnsi="Arial"/>
          <w:sz w:val="20"/>
        </w:rPr>
        <w:t>15A. Prüfung des Vertriebsbereichs: Schwierige Fragen vor dem Familienkonflikt</w:t>
      </w:r>
    </w:p>
    <w:p w14:paraId="7002E0F9" w14:textId="77777777" w:rsidR="00D67E55" w:rsidRDefault="00F266ED">
      <w:pPr>
        <w:pStyle w:val="1"/>
      </w:pPr>
      <w:r>
        <w:rPr>
          <w:rFonts w:ascii="Arial" w:hAnsi="Arial"/>
          <w:sz w:val="20"/>
        </w:rPr>
        <w:lastRenderedPageBreak/>
        <w:t>Teil III. April bis November 2024: Vom Projekt zum Wendepunkt</w:t>
      </w:r>
    </w:p>
    <w:p w14:paraId="397D9BD4" w14:textId="77777777" w:rsidR="00D67E55" w:rsidRDefault="00F266ED">
      <w:pPr>
        <w:pStyle w:val="21"/>
      </w:pPr>
      <w:r>
        <w:rPr>
          <w:rFonts w:ascii="Arial" w:hAnsi="Arial"/>
          <w:sz w:val="20"/>
        </w:rPr>
        <w:t>16. Dubai vor dem Konflikt</w:t>
      </w:r>
    </w:p>
    <w:p w14:paraId="22CFF919" w14:textId="77777777" w:rsidR="00D67E55" w:rsidRDefault="00F266ED">
      <w:pPr>
        <w:pStyle w:val="21"/>
      </w:pPr>
      <w:r>
        <w:rPr>
          <w:rFonts w:ascii="Arial" w:hAnsi="Arial"/>
          <w:sz w:val="20"/>
        </w:rPr>
        <w:t>17. 17. August: Ein Gespräch, kein später gefundenes Dokument</w:t>
      </w:r>
    </w:p>
    <w:p w14:paraId="1F93E8D5" w14:textId="77777777" w:rsidR="00D67E55" w:rsidRDefault="00F266ED">
      <w:pPr>
        <w:pStyle w:val="21"/>
      </w:pPr>
      <w:r>
        <w:rPr>
          <w:rFonts w:ascii="Arial" w:hAnsi="Arial"/>
          <w:sz w:val="20"/>
        </w:rPr>
        <w:t>18. 23. bis 31. August: Als das Projekt konkret wurde</w:t>
      </w:r>
    </w:p>
    <w:p w14:paraId="0858086D" w14:textId="77777777" w:rsidR="00D67E55" w:rsidRDefault="00F266ED">
      <w:pPr>
        <w:pStyle w:val="21"/>
      </w:pPr>
      <w:r>
        <w:rPr>
          <w:rFonts w:ascii="Arial" w:hAnsi="Arial"/>
          <w:sz w:val="20"/>
        </w:rPr>
        <w:t>19. Die Vereinbarung vom 26. August</w:t>
      </w:r>
    </w:p>
    <w:p w14:paraId="3447F74B" w14:textId="77777777" w:rsidR="00D67E55" w:rsidRDefault="00F266ED">
      <w:pPr>
        <w:pStyle w:val="21"/>
      </w:pPr>
      <w:r>
        <w:rPr>
          <w:rFonts w:ascii="Arial" w:hAnsi="Arial"/>
          <w:sz w:val="20"/>
        </w:rPr>
        <w:t>20. Der wirtschaftliche Rahmen der Transaktion</w:t>
      </w:r>
    </w:p>
    <w:p w14:paraId="47E6CCD7" w14:textId="77777777" w:rsidR="00D67E55" w:rsidRDefault="00F266ED">
      <w:pPr>
        <w:pStyle w:val="21"/>
      </w:pPr>
      <w:r>
        <w:rPr>
          <w:rFonts w:ascii="Arial" w:hAnsi="Arial"/>
          <w:sz w:val="20"/>
        </w:rPr>
        <w:t>21. 68 Prozent und die Gefahr einer verlockenden Zahl</w:t>
      </w:r>
    </w:p>
    <w:p w14:paraId="7C4D30B7" w14:textId="77777777" w:rsidR="00D67E55" w:rsidRDefault="00F266ED">
      <w:pPr>
        <w:pStyle w:val="21"/>
      </w:pPr>
      <w:r>
        <w:rPr>
          <w:rFonts w:ascii="Arial" w:hAnsi="Arial"/>
          <w:sz w:val="20"/>
        </w:rPr>
        <w:t>22. September: Als die Korrespondenz zum Beweis wurde</w:t>
      </w:r>
    </w:p>
    <w:p w14:paraId="3852C9CD" w14:textId="77777777" w:rsidR="00D67E55" w:rsidRDefault="00F266ED">
      <w:pPr>
        <w:pStyle w:val="21"/>
      </w:pPr>
      <w:r>
        <w:rPr>
          <w:rFonts w:ascii="Arial" w:hAnsi="Arial"/>
          <w:sz w:val="20"/>
        </w:rPr>
        <w:t>23. Dmitry und die unsichtbare Macht</w:t>
      </w:r>
    </w:p>
    <w:p w14:paraId="5B1497E9" w14:textId="77777777" w:rsidR="00D67E55" w:rsidRDefault="00F266ED">
      <w:pPr>
        <w:pStyle w:val="21"/>
      </w:pPr>
      <w:r>
        <w:rPr>
          <w:rFonts w:ascii="Arial" w:hAnsi="Arial"/>
          <w:sz w:val="20"/>
        </w:rPr>
        <w:t>24. Letzte Versuche eines gemeinsamen Gesprächs</w:t>
      </w:r>
    </w:p>
    <w:p w14:paraId="4014A8B3" w14:textId="77777777" w:rsidR="00D67E55" w:rsidRDefault="00F266ED">
      <w:pPr>
        <w:pStyle w:val="21"/>
      </w:pPr>
      <w:r>
        <w:rPr>
          <w:rFonts w:ascii="Arial" w:hAnsi="Arial"/>
          <w:sz w:val="20"/>
        </w:rPr>
        <w:t>25. Ein Ausscheiden, das nicht an einem Tag vollzogen wird</w:t>
      </w:r>
    </w:p>
    <w:p w14:paraId="7398B9CF" w14:textId="77777777" w:rsidR="00D67E55" w:rsidRDefault="00F266ED">
      <w:pPr>
        <w:pStyle w:val="1"/>
      </w:pPr>
      <w:r>
        <w:rPr>
          <w:rFonts w:ascii="Arial" w:hAnsi="Arial"/>
          <w:sz w:val="20"/>
        </w:rPr>
        <w:t>Teil IV. 2025: Verkauf, auseinandergehende Interessen und neue Kontrolle</w:t>
      </w:r>
    </w:p>
    <w:p w14:paraId="451D31C9" w14:textId="77777777" w:rsidR="00D67E55" w:rsidRDefault="00F266ED">
      <w:pPr>
        <w:pStyle w:val="21"/>
      </w:pPr>
      <w:r>
        <w:rPr>
          <w:rFonts w:ascii="Arial" w:hAnsi="Arial"/>
          <w:sz w:val="20"/>
        </w:rPr>
        <w:t>26. Die Rückkehr der Transaktion</w:t>
      </w:r>
    </w:p>
    <w:p w14:paraId="0C0BC1F7" w14:textId="77777777" w:rsidR="00D67E55" w:rsidRDefault="00F266ED">
      <w:pPr>
        <w:pStyle w:val="21"/>
      </w:pPr>
      <w:r>
        <w:rPr>
          <w:rFonts w:ascii="Arial" w:hAnsi="Arial"/>
          <w:sz w:val="20"/>
        </w:rPr>
        <w:t>27. Anton: Weder Feind noch Statist</w:t>
      </w:r>
    </w:p>
    <w:p w14:paraId="3A1CE152" w14:textId="77777777" w:rsidR="00D67E55" w:rsidRDefault="00F266ED">
      <w:pPr>
        <w:pStyle w:val="21"/>
      </w:pPr>
      <w:r>
        <w:rPr>
          <w:rFonts w:ascii="Arial" w:hAnsi="Arial"/>
          <w:sz w:val="20"/>
        </w:rPr>
        <w:t>28. Juristen als Spiegel des Konflikts</w:t>
      </w:r>
    </w:p>
    <w:p w14:paraId="00FCD04C" w14:textId="77777777" w:rsidR="00D67E55" w:rsidRDefault="00F266ED">
      <w:pPr>
        <w:pStyle w:val="21"/>
      </w:pPr>
      <w:r>
        <w:rPr>
          <w:rFonts w:ascii="Arial" w:hAnsi="Arial"/>
          <w:sz w:val="20"/>
        </w:rPr>
        <w:t>29. Pharmstandard und die Frage eines parallelen Vertriebskanals</w:t>
      </w:r>
    </w:p>
    <w:p w14:paraId="7DCFAE5A" w14:textId="77777777" w:rsidR="00D67E55" w:rsidRDefault="00F266ED">
      <w:pPr>
        <w:pStyle w:val="21"/>
      </w:pPr>
      <w:r>
        <w:rPr>
          <w:rFonts w:ascii="Arial" w:hAnsi="Arial"/>
          <w:sz w:val="20"/>
        </w:rPr>
        <w:t>30. Die Transaktion wird abgeschlossen, die Geschichte nicht</w:t>
      </w:r>
    </w:p>
    <w:p w14:paraId="23609C1F" w14:textId="77777777" w:rsidR="00D67E55" w:rsidRDefault="00F266ED">
      <w:pPr>
        <w:pStyle w:val="21"/>
      </w:pPr>
      <w:r>
        <w:rPr>
          <w:rFonts w:ascii="Arial" w:hAnsi="Arial"/>
          <w:sz w:val="20"/>
        </w:rPr>
        <w:t>30A. Wer letztlich was erhielt</w:t>
      </w:r>
    </w:p>
    <w:p w14:paraId="23609C1F" w14:textId="77777777" w:rsidR="00D67E55" w:rsidRDefault="00F266ED">
      <w:pPr>
        <w:pStyle w:val="21"/>
      </w:pPr>
      <w:r>
        <w:rPr>
          <w:rFonts w:ascii="Arial" w:hAnsi="Arial"/>
          <w:sz w:val="20"/>
        </w:rPr>
        <w:t>31. Zession und die Umwandlung von Familiengeld in Geld für Gerichtsverfahren</w:t>
      </w:r>
    </w:p>
    <w:p w14:paraId="4C522628" w14:textId="77777777" w:rsidR="00D67E55" w:rsidRDefault="00F266ED">
      <w:pPr>
        <w:pStyle w:val="21"/>
      </w:pPr>
      <w:r>
        <w:rPr>
          <w:rFonts w:ascii="Arial" w:hAnsi="Arial"/>
          <w:sz w:val="20"/>
        </w:rPr>
        <w:t>32. Wenn der Konflikt aus dem Unternehmen ins Leben übergreift</w:t>
      </w:r>
    </w:p>
    <w:p w14:paraId="068E9EA8" w14:textId="77777777" w:rsidR="00D67E55" w:rsidRDefault="00F266ED">
      <w:pPr>
        <w:pStyle w:val="1"/>
      </w:pPr>
      <w:r>
        <w:rPr>
          <w:rFonts w:ascii="Arial" w:hAnsi="Arial"/>
          <w:sz w:val="20"/>
        </w:rPr>
        <w:t>Teil V. 2026: Gerichtsverfahren, Erinnerung und was bleiben wird</w:t>
      </w:r>
    </w:p>
    <w:p w14:paraId="28694982" w14:textId="77777777" w:rsidR="00D67E55" w:rsidRDefault="00F266ED">
      <w:pPr>
        <w:pStyle w:val="21"/>
      </w:pPr>
      <w:r>
        <w:rPr>
          <w:rFonts w:ascii="Arial" w:hAnsi="Arial"/>
          <w:sz w:val="20"/>
        </w:rPr>
        <w:t>33. Das Gericht als Maschine der Vereinfachung</w:t>
      </w:r>
    </w:p>
    <w:p w14:paraId="6A35B5B9" w14:textId="77777777" w:rsidR="00D67E55" w:rsidRDefault="00F266ED">
      <w:pPr>
        <w:pStyle w:val="21"/>
      </w:pPr>
      <w:r>
        <w:rPr>
          <w:rFonts w:ascii="Arial" w:hAnsi="Arial"/>
          <w:sz w:val="20"/>
        </w:rPr>
        <w:lastRenderedPageBreak/>
        <w:t>34. Archiv gegen Erinnerung</w:t>
      </w:r>
    </w:p>
    <w:p w14:paraId="29896E93" w14:textId="77777777" w:rsidR="00D67E55" w:rsidRDefault="00F266ED">
      <w:pPr>
        <w:pStyle w:val="21"/>
      </w:pPr>
      <w:r>
        <w:rPr>
          <w:rFonts w:ascii="Arial" w:hAnsi="Arial"/>
          <w:sz w:val="20"/>
        </w:rPr>
        <w:t>35. Meine Fehler</w:t>
      </w:r>
    </w:p>
    <w:p w14:paraId="1863B441" w14:textId="77777777" w:rsidR="00D67E55" w:rsidRDefault="00F266ED">
      <w:pPr>
        <w:pStyle w:val="21"/>
      </w:pPr>
      <w:r>
        <w:rPr>
          <w:rFonts w:ascii="Arial" w:hAnsi="Arial"/>
          <w:sz w:val="20"/>
        </w:rPr>
        <w:t>36. Was ich dennoch für richtig halte</w:t>
      </w:r>
    </w:p>
    <w:p w14:paraId="4406D397" w14:textId="77777777" w:rsidR="00D67E55" w:rsidRDefault="00F266ED">
      <w:pPr>
        <w:pStyle w:val="21"/>
      </w:pPr>
      <w:r>
        <w:rPr>
          <w:rFonts w:ascii="Arial" w:hAnsi="Arial"/>
          <w:sz w:val="20"/>
        </w:rPr>
        <w:t>37. Erbt meinen Konflikt nicht</w:t>
      </w:r>
    </w:p>
    <w:p w14:paraId="54F0279D" w14:textId="77777777" w:rsidR="00D67E55" w:rsidRDefault="00F266ED">
      <w:pPr>
        <w:pStyle w:val="1"/>
      </w:pPr>
      <w:r>
        <w:rPr>
          <w:rFonts w:ascii="Arial" w:hAnsi="Arial"/>
          <w:sz w:val="20"/>
        </w:rPr>
        <w:t>Teil VI. Porträts ohne Urteile</w:t>
      </w:r>
    </w:p>
    <w:p w14:paraId="1C2C911F" w14:textId="77777777" w:rsidR="00D67E55" w:rsidRDefault="00F266ED">
      <w:pPr>
        <w:pStyle w:val="21"/>
      </w:pPr>
      <w:r>
        <w:rPr>
          <w:rFonts w:ascii="Arial" w:hAnsi="Arial"/>
          <w:sz w:val="20"/>
        </w:rPr>
        <w:t>38. Andrey Yuryevich: Familiäre Autorität und rechtlicher Wille</w:t>
      </w:r>
    </w:p>
    <w:p w14:paraId="74C818FE" w14:textId="77777777" w:rsidR="00D67E55" w:rsidRDefault="00F266ED">
      <w:pPr>
        <w:pStyle w:val="21"/>
      </w:pPr>
      <w:r>
        <w:rPr>
          <w:rFonts w:ascii="Arial" w:hAnsi="Arial"/>
          <w:sz w:val="20"/>
        </w:rPr>
        <w:t>39. Vyacheslav Sidorov: Zeuge des frühen Kontexts</w:t>
      </w:r>
    </w:p>
    <w:p w14:paraId="3B73B419" w14:textId="77777777" w:rsidR="00D67E55" w:rsidRDefault="00F266ED">
      <w:pPr>
        <w:pStyle w:val="21"/>
      </w:pPr>
      <w:r>
        <w:rPr>
          <w:rFonts w:ascii="Arial" w:hAnsi="Arial"/>
          <w:sz w:val="20"/>
        </w:rPr>
        <w:t>40. Oksana Kirpenko und Adolina Rudko: Zwischen Mehrheit und Verfahren</w:t>
      </w:r>
    </w:p>
    <w:p w14:paraId="60D0E53E" w14:textId="77777777" w:rsidR="00D67E55" w:rsidRDefault="00F266ED">
      <w:pPr>
        <w:pStyle w:val="21"/>
      </w:pPr>
      <w:r>
        <w:rPr>
          <w:rFonts w:ascii="Arial" w:hAnsi="Arial"/>
          <w:sz w:val="20"/>
        </w:rPr>
        <w:t>41. NSP: Wenn externe Juristen Teil der Überlieferung werden</w:t>
      </w:r>
    </w:p>
    <w:p w14:paraId="48F76446" w14:textId="77777777" w:rsidR="00D67E55" w:rsidRDefault="00F266ED">
      <w:pPr>
        <w:pStyle w:val="21"/>
      </w:pPr>
      <w:r>
        <w:rPr>
          <w:rFonts w:ascii="Arial" w:hAnsi="Arial"/>
          <w:sz w:val="20"/>
        </w:rPr>
        <w:t>42. Der Käufer: Die Rationalität eines Außenstehenden</w:t>
      </w:r>
    </w:p>
    <w:p w14:paraId="55CEA8B8" w14:textId="77777777" w:rsidR="00D67E55" w:rsidRDefault="00F266ED">
      <w:pPr>
        <w:pStyle w:val="1"/>
      </w:pPr>
      <w:r>
        <w:rPr>
          <w:rFonts w:ascii="Arial" w:hAnsi="Arial"/>
          <w:sz w:val="20"/>
        </w:rPr>
        <w:t>Teil VII. Praktisches Vermächtnis</w:t>
      </w:r>
    </w:p>
    <w:p w14:paraId="742B8C22" w14:textId="77777777" w:rsidR="00D67E55" w:rsidRDefault="00F266ED">
      <w:pPr>
        <w:pStyle w:val="21"/>
      </w:pPr>
      <w:r>
        <w:rPr>
          <w:rFonts w:ascii="Arial" w:hAnsi="Arial"/>
          <w:sz w:val="20"/>
        </w:rPr>
        <w:t>43. Familienverfassung: Zwölf Regeln, die ich im Voraus festgelegt hätte</w:t>
      </w:r>
    </w:p>
    <w:p w14:paraId="45ABE6C4" w14:textId="77777777" w:rsidR="00D67E55" w:rsidRDefault="00F266ED">
      <w:pPr>
        <w:pStyle w:val="21"/>
      </w:pPr>
      <w:r>
        <w:rPr>
          <w:rFonts w:ascii="Arial" w:hAnsi="Arial"/>
          <w:sz w:val="20"/>
        </w:rPr>
        <w:t>44. Wenn ich noch einmal anfangen könnte</w:t>
      </w:r>
    </w:p>
    <w:p w14:paraId="6EC0D520" w14:textId="77777777" w:rsidR="00D67E55" w:rsidRDefault="00F266ED">
      <w:pPr>
        <w:pStyle w:val="1"/>
      </w:pPr>
      <w:r>
        <w:rPr>
          <w:rFonts w:ascii="Arial" w:hAnsi="Arial"/>
          <w:sz w:val="20"/>
        </w:rPr>
        <w:t>Brief an diejenigen, die nach uns kommen werden</w:t>
      </w:r>
    </w:p>
    <w:p w14:paraId="76BD2A5A" w14:textId="77777777" w:rsidR="00D67E55" w:rsidRDefault="00F266ED">
      <w:pPr>
        <w:pStyle w:val="1"/>
      </w:pPr>
      <w:r>
        <w:rPr>
          <w:rFonts w:ascii="Arial" w:hAnsi="Arial"/>
          <w:sz w:val="20"/>
        </w:rPr>
        <w:t>Dokumentarische Karte der Erinnerung</w:t>
      </w:r>
    </w:p>
    <w:p w14:paraId="520EB71B" w14:textId="77777777" w:rsidR="00D67E55" w:rsidRDefault="00F266ED">
      <w:pPr>
        <w:pStyle w:val="1"/>
      </w:pPr>
      <w:r>
        <w:rPr>
          <w:rFonts w:ascii="Arial" w:hAnsi="Arial"/>
          <w:sz w:val="20"/>
        </w:rPr>
        <w:t>Teil I. Vor Miramistin: Familiengeschichte und Erinnerung</w:t>
      </w:r>
    </w:p>
    <w:p w14:paraId="19935CC1" w14:textId="77777777" w:rsidR="00D67E55" w:rsidRDefault="00F266ED">
      <w:pPr>
        <w:pStyle w:val="21"/>
      </w:pPr>
      <w:r>
        <w:rPr>
          <w:rFonts w:ascii="Arial" w:hAnsi="Arial"/>
          <w:sz w:val="20"/>
        </w:rPr>
        <w:t>1. Warum diese Geschichte mit Vorfahren beginnen sollte</w:t>
      </w:r>
    </w:p>
    <w:p w14:paraId="455A18B4" w14:textId="77777777" w:rsidR="00D67E55" w:rsidRDefault="00F266ED">
      <w:r>
        <w:t>Als ich zum ersten Mal Material über den Konflikt um die Wirtschaft sammelte, schien es mir natürlich, im Jahr 2024 zu beginnen: mit Briefen, Vollmachten, Verträgen, IP und Menschen, die irgendwann das gleiche Verständnis davon verloren hatten, wer das Recht hatte, Entscheidungen zu treffen, aber das war ein sehr später Bezugspunkt, und wenn das Buch für die Nachwelt bestimmt ist, sollte es nicht mit einer Krise beginnen, sondern mit etwas, das lange vorher existierte.</w:t>
      </w:r>
      <w:r>
        <w:lastRenderedPageBreak/>
        <w:t/>
      </w:r>
    </w:p>
    <w:p w14:paraId="2C727AE6" w14:textId="77777777" w:rsidR="00D67E55" w:rsidRDefault="00F266ED">
      <w:r>
        <w:t>Im Jahr 2019 habe ich eine separate genealogische Untersuchung in Auftrag gegeben, die mit Kirchenbüchern, Standesämtern, Gerichts- und Militärdokumenten, Familienfotos und Interviews mit Verwandten arbeitete, und es stellte sich heraus, dass der bekannte Name eine viel längere Geographie verbirgt: Ural Koltasch und Rezh, Krimdörfer, Provinz Rjasan, Kasachstan, Norilsk, Moskau und dann Wien und andere Städte in Europa.</w:t>
      </w:r>
    </w:p>
    <w:p w14:paraId="3EE1844D" w14:textId="77777777" w:rsidR="00D67E55" w:rsidRDefault="00F266ED">
      <w:r>
        <w:t>Es veränderte meine Perspektive auf meine eigene Geschichte, und ich sah, dass die Fähigkeit einer Familie, neu zu beginnen, in den neunziger Jahren nicht zustande kam. Vor uns gab es Menschen, die ihr Leben durch den Krieg verloren, zu Bergwerken und großen Baustellen gingen, den Beruf wechselten, Staatsbrüche erlebten und wieder von Grund auf neu gebaut wurden. In diesem Zusammenhang ist das Miramistin-Geschäft kein Wunder, sondern eine Erweiterung einer viel älteren Familiengewohnheit, weiterzumachen, wenn das alte Struktur aufhört zu funktionieren.</w:t>
      </w:r>
    </w:p>
    <w:p w14:paraId="6C9D4108" w14:textId="77777777" w:rsidR="00D67E55" w:rsidRDefault="00F266ED">
      <w:r>
        <w:t>Der erste Teil dieses Buches ist kein genealogischer Katalog; es ist ein Versuch, Vererbung jenseits von Eigentum zu verstehen: Was genau wird zwischen Generationen weitergegeben, wenn Eigentum verschwinden kann, ein Unternehmen das Eigentum wechseln kann und Beziehungen zusammenbrechen können? Die Antwort, zu der ich kam, ist, dass es Wege gibt, auf Unsicherheit zu reagieren, Einstellungen zu Arbeit, Risiko, Bildung, Macht und Familie.</w:t>
      </w:r>
    </w:p>
    <w:p w14:paraId="67D4BF8C" w14:textId="77777777" w:rsidR="00D67E55" w:rsidRDefault="00F266ED">
      <w:pPr>
        <w:pStyle w:val="21"/>
        <w:jc w:val="both"/>
      </w:pPr>
      <w:r>
        <w:rPr>
          <w:rFonts w:ascii="Arial" w:hAnsi="Arial"/>
          <w:sz w:val="20"/>
        </w:rPr>
        <w:t>Direkte Familienlinie, rekonstruiert in der Untersuchung von 2019</w:t>
      </w:r>
    </w:p>
    <w:p w14:paraId="67C55093" w14:textId="77777777" w:rsidR="00D67E55" w:rsidRDefault="00F266ED">
      <w:pPr>
        <w:pStyle w:val="NoIndent"/>
        <w:rPr>
          <w:rFonts w:hint="eastAsia"/>
        </w:rPr>
      </w:pPr>
      <w:r>
        <w:rPr>
          <w:rFonts w:ascii="Arial" w:hAnsi="Arial"/>
          <w:sz w:val="20"/>
        </w:rPr>
        <w:t>Ivan Ivanovich → Ivan Alexeyevich → Yuri Ivanovich → Andrey Yuryevich → Evgeny Andreyevich</w:t>
      </w:r>
    </w:p>
    <w:tbl>
      <w:tblPr>
        <w:tblStyle w:val="aff0"/>
        <w:tblW w:w="0" w:type="auto"/>
        <w:jc w:val="center"/>
        <w:tblLook w:val="04A0" w:firstRow="1" w:lastRow="0" w:firstColumn="1" w:lastColumn="0" w:noHBand="0" w:noVBand="1"/>
      </w:tblPr>
      <w:tblGrid>
        <w:gridCol w:w="1082"/>
        <w:gridCol w:w="1757"/>
        <w:gridCol w:w="2835"/>
      </w:tblGrid>
      <w:tr w:rsidR="00D67E55" w14:paraId="62371B57" w14:textId="77777777">
        <w:trPr>
          <w:cantSplit/>
          <w:jc w:val="center"/>
          <w:tblHeader/>
        </w:trPr>
        <w:tc>
          <w:tcPr>
            <w:tcW w:w="680" w:type="dxa"/>
            <w:vAlign w:val="center"/>
          </w:tcPr>
          <w:p w14:paraId="17B0F4C4" w14:textId="77777777" w:rsidR="00D67E55" w:rsidRDefault="00F266ED">
            <w:pPr>
              <w:keepNext/>
              <w:jc w:val="left"/>
            </w:pPr>
            <w:r>
              <w:rPr>
                <w:b/>
                <w:sz w:val="16"/>
              </w:rPr>
              <w:t>Generation.</w:t>
            </w:r>
          </w:p>
        </w:tc>
        <w:tc>
          <w:tcPr>
            <w:tcW w:w="1757" w:type="dxa"/>
            <w:vAlign w:val="center"/>
          </w:tcPr>
          <w:p w14:paraId="7AAAC31D" w14:textId="77777777" w:rsidR="00D67E55" w:rsidRDefault="00F266ED">
            <w:pPr>
              <w:keepNext/>
              <w:jc w:val="left"/>
            </w:pPr>
            <w:r>
              <w:rPr>
                <w:b/>
                <w:sz w:val="16"/>
              </w:rPr>
              <w:t>Name und Jahre</w:t>
            </w:r>
          </w:p>
        </w:tc>
        <w:tc>
          <w:tcPr>
            <w:tcW w:w="2835" w:type="dxa"/>
            <w:vAlign w:val="center"/>
          </w:tcPr>
          <w:p w14:paraId="040C2D6B" w14:textId="77777777" w:rsidR="00D67E55" w:rsidRDefault="00F266ED">
            <w:pPr>
              <w:keepNext/>
              <w:jc w:val="left"/>
            </w:pPr>
            <w:r>
              <w:rPr>
                <w:b/>
                <w:sz w:val="16"/>
              </w:rPr>
              <w:t>Schlüsselkontext</w:t>
            </w:r>
          </w:p>
        </w:tc>
      </w:tr>
      <w:tr w:rsidR="00D67E55" w14:paraId="3AC9B8C0" w14:textId="77777777">
        <w:trPr>
          <w:cantSplit/>
          <w:jc w:val="center"/>
        </w:trPr>
        <w:tc>
          <w:tcPr>
            <w:tcW w:w="680" w:type="dxa"/>
            <w:vAlign w:val="center"/>
          </w:tcPr>
          <w:p w14:paraId="7720BEA8" w14:textId="77777777" w:rsidR="00D67E55" w:rsidRDefault="00F266ED">
            <w:pPr>
              <w:jc w:val="left"/>
            </w:pPr>
            <w:r>
              <w:rPr>
                <w:sz w:val="16"/>
              </w:rPr>
              <w:t>I</w:t>
            </w:r>
          </w:p>
        </w:tc>
        <w:tc>
          <w:tcPr>
            <w:tcW w:w="1757" w:type="dxa"/>
            <w:vAlign w:val="center"/>
          </w:tcPr>
          <w:p w14:paraId="3E3F1C02" w14:textId="77777777" w:rsidR="00D67E55" w:rsidRDefault="00F266ED">
            <w:pPr>
              <w:jc w:val="left"/>
            </w:pPr>
            <w:r>
              <w:rPr>
                <w:sz w:val="16"/>
              </w:rPr>
              <w:t>Ivan Vasilyevich Gorokow</w:t>
            </w:r>
          </w:p>
        </w:tc>
        <w:tc>
          <w:tcPr>
            <w:tcW w:w="2835" w:type="dxa"/>
            <w:vAlign w:val="center"/>
          </w:tcPr>
          <w:p w14:paraId="16223EA3" w14:textId="77777777" w:rsidR="00D67E55" w:rsidRDefault="00F266ED">
            <w:pPr>
              <w:jc w:val="left"/>
            </w:pPr>
            <w:r>
              <w:rPr>
                <w:sz w:val="16"/>
              </w:rPr>
              <w:t>Bauern des Dorfes Koltashi des Bezirks Jekaterinburg der Provinz Perm.</w:t>
            </w:r>
          </w:p>
        </w:tc>
      </w:tr>
      <w:tr w:rsidR="00D67E55" w14:paraId="45115C22" w14:textId="77777777">
        <w:trPr>
          <w:cantSplit/>
          <w:jc w:val="center"/>
        </w:trPr>
        <w:tc>
          <w:tcPr>
            <w:tcW w:w="680" w:type="dxa"/>
            <w:vAlign w:val="center"/>
          </w:tcPr>
          <w:p w14:paraId="67C166CE" w14:textId="77777777" w:rsidR="00D67E55" w:rsidRDefault="00F266ED">
            <w:pPr>
              <w:jc w:val="left"/>
            </w:pPr>
            <w:r>
              <w:rPr>
                <w:sz w:val="16"/>
              </w:rPr>
              <w:lastRenderedPageBreak/>
              <w:t>II</w:t>
            </w:r>
          </w:p>
        </w:tc>
        <w:tc>
          <w:tcPr>
            <w:tcW w:w="1757" w:type="dxa"/>
            <w:vAlign w:val="center"/>
          </w:tcPr>
          <w:p w14:paraId="0191CA80" w14:textId="77777777" w:rsidR="00D67E55" w:rsidRDefault="00F266ED">
            <w:pPr>
              <w:jc w:val="left"/>
            </w:pPr>
            <w:r>
              <w:rPr>
                <w:sz w:val="16"/>
              </w:rPr>
              <w:t>Alexey Iwanowitsch (1885 – Erster Weltkrieg)</w:t>
            </w:r>
          </w:p>
        </w:tc>
        <w:tc>
          <w:tcPr>
            <w:tcW w:w="2835" w:type="dxa"/>
            <w:vAlign w:val="center"/>
          </w:tcPr>
          <w:p w14:paraId="511245EC" w14:textId="77777777" w:rsidR="00D67E55" w:rsidRDefault="00F266ED">
            <w:pPr>
              <w:jc w:val="left"/>
            </w:pPr>
            <w:r>
              <w:rPr>
                <w:sz w:val="16"/>
              </w:rPr>
              <w:t>Er arbeitete im Holzeinschlag; wurde in die zaristische Armee mobilisiert und starb im Krieg.</w:t>
            </w:r>
          </w:p>
        </w:tc>
      </w:tr>
      <w:tr w:rsidR="00D67E55" w14:paraId="561B360A" w14:textId="77777777">
        <w:trPr>
          <w:cantSplit/>
          <w:jc w:val="center"/>
        </w:trPr>
        <w:tc>
          <w:tcPr>
            <w:tcW w:w="680" w:type="dxa"/>
            <w:vAlign w:val="center"/>
          </w:tcPr>
          <w:p w14:paraId="46084AC9" w14:textId="77777777" w:rsidR="00D67E55" w:rsidRDefault="00F266ED">
            <w:pPr>
              <w:jc w:val="left"/>
            </w:pPr>
            <w:r>
              <w:rPr>
                <w:sz w:val="16"/>
              </w:rPr>
              <w:t>III</w:t>
            </w:r>
          </w:p>
        </w:tc>
        <w:tc>
          <w:tcPr>
            <w:tcW w:w="1757" w:type="dxa"/>
            <w:vAlign w:val="center"/>
          </w:tcPr>
          <w:p w14:paraId="4729D0F8" w14:textId="77777777" w:rsidR="00D67E55" w:rsidRDefault="00F266ED">
            <w:pPr>
              <w:jc w:val="left"/>
            </w:pPr>
            <w:r>
              <w:rPr>
                <w:sz w:val="16"/>
              </w:rPr>
              <w:t>Ivan Alexeyevich (1912-1978)</w:t>
            </w:r>
          </w:p>
        </w:tc>
        <w:tc>
          <w:tcPr>
            <w:tcW w:w="2835" w:type="dxa"/>
            <w:vAlign w:val="center"/>
          </w:tcPr>
          <w:p w14:paraId="2A428CAB" w14:textId="77777777" w:rsidR="00D67E55" w:rsidRDefault="00F266ED">
            <w:pPr>
              <w:jc w:val="left"/>
            </w:pPr>
            <w:r>
              <w:rPr>
                <w:sz w:val="16"/>
              </w:rPr>
              <w:t>Volksrichter, Militäranwalt, Ermittler SMERSH; Frontsoldaten.</w:t>
            </w:r>
          </w:p>
        </w:tc>
      </w:tr>
      <w:tr w:rsidR="00D67E55" w14:paraId="2E57F337" w14:textId="77777777">
        <w:trPr>
          <w:cantSplit/>
          <w:jc w:val="center"/>
        </w:trPr>
        <w:tc>
          <w:tcPr>
            <w:tcW w:w="680" w:type="dxa"/>
            <w:vAlign w:val="center"/>
          </w:tcPr>
          <w:p w14:paraId="6CF50721" w14:textId="77777777" w:rsidR="00D67E55" w:rsidRDefault="00F266ED">
            <w:pPr>
              <w:jc w:val="left"/>
            </w:pPr>
            <w:r>
              <w:rPr>
                <w:sz w:val="16"/>
              </w:rPr>
              <w:t>IV</w:t>
            </w:r>
          </w:p>
        </w:tc>
        <w:tc>
          <w:tcPr>
            <w:tcW w:w="1757" w:type="dxa"/>
            <w:vAlign w:val="center"/>
          </w:tcPr>
          <w:p w14:paraId="0F1F739A" w14:textId="77777777" w:rsidR="00D67E55" w:rsidRDefault="00F266ED">
            <w:pPr>
              <w:jc w:val="left"/>
            </w:pPr>
            <w:r>
              <w:rPr>
                <w:sz w:val="16"/>
              </w:rPr>
              <w:t>Yuri Ivanovich (1934-2016)</w:t>
            </w:r>
          </w:p>
        </w:tc>
        <w:tc>
          <w:tcPr>
            <w:tcW w:w="2835" w:type="dxa"/>
            <w:vAlign w:val="center"/>
          </w:tcPr>
          <w:p w14:paraId="44A2A31A" w14:textId="77777777" w:rsidR="00D67E55" w:rsidRDefault="00F266ED">
            <w:pPr>
              <w:jc w:val="left"/>
            </w:pPr>
            <w:r>
              <w:rPr>
                <w:sz w:val="16"/>
              </w:rPr>
              <w:t>Markscheider und Baumeister; Karaganda, Magadan, Norilsk, Wladiwostok, Krim.</w:t>
            </w:r>
          </w:p>
        </w:tc>
      </w:tr>
      <w:tr w:rsidR="00D67E55" w14:paraId="1019412B" w14:textId="77777777">
        <w:trPr>
          <w:cantSplit/>
          <w:jc w:val="center"/>
        </w:trPr>
        <w:tc>
          <w:tcPr>
            <w:tcW w:w="680" w:type="dxa"/>
            <w:vAlign w:val="center"/>
          </w:tcPr>
          <w:p w14:paraId="7F1A457D" w14:textId="77777777" w:rsidR="00D67E55" w:rsidRDefault="00F266ED">
            <w:pPr>
              <w:jc w:val="left"/>
            </w:pPr>
            <w:r>
              <w:rPr>
                <w:sz w:val="16"/>
              </w:rPr>
              <w:t>V</w:t>
            </w:r>
          </w:p>
        </w:tc>
        <w:tc>
          <w:tcPr>
            <w:tcW w:w="1757" w:type="dxa"/>
            <w:vAlign w:val="center"/>
          </w:tcPr>
          <w:p w14:paraId="2DE8DBAD" w14:textId="77777777" w:rsidR="00D67E55" w:rsidRDefault="00F266ED">
            <w:pPr>
              <w:jc w:val="left"/>
            </w:pPr>
            <w:r>
              <w:rPr>
                <w:sz w:val="16"/>
              </w:rPr>
              <w:t>Andrey Yuryevich (* 1960)</w:t>
            </w:r>
          </w:p>
        </w:tc>
        <w:tc>
          <w:tcPr>
            <w:tcW w:w="2835" w:type="dxa"/>
            <w:vAlign w:val="center"/>
          </w:tcPr>
          <w:p w14:paraId="59403AB6" w14:textId="77777777" w:rsidR="00D67E55" w:rsidRDefault="00F266ED">
            <w:pPr>
              <w:jc w:val="left"/>
            </w:pPr>
            <w:r>
              <w:rPr>
                <w:sz w:val="16"/>
              </w:rPr>
              <w:t>Ingenieur, Unternehmer, einer der wichtigsten Organisatoren von Miramistins Einführung in den Markt und der Schaffung des Produktionskreislaufs.</w:t>
            </w:r>
          </w:p>
        </w:tc>
      </w:tr>
      <w:tr w:rsidR="00D67E55" w14:paraId="5AAA729F" w14:textId="77777777">
        <w:trPr>
          <w:cantSplit/>
          <w:jc w:val="center"/>
        </w:trPr>
        <w:tc>
          <w:tcPr>
            <w:tcW w:w="680" w:type="dxa"/>
            <w:vAlign w:val="center"/>
          </w:tcPr>
          <w:p w14:paraId="33E5DB6C" w14:textId="77777777" w:rsidR="00D67E55" w:rsidRDefault="00F266ED">
            <w:pPr>
              <w:jc w:val="left"/>
            </w:pPr>
            <w:r>
              <w:rPr>
                <w:sz w:val="16"/>
              </w:rPr>
              <w:t>VI</w:t>
            </w:r>
          </w:p>
        </w:tc>
        <w:tc>
          <w:tcPr>
            <w:tcW w:w="1757" w:type="dxa"/>
            <w:vAlign w:val="center"/>
          </w:tcPr>
          <w:p w14:paraId="141F9F0B" w14:textId="77777777" w:rsidR="00D67E55" w:rsidRDefault="00F266ED">
            <w:pPr>
              <w:jc w:val="left"/>
            </w:pPr>
            <w:r>
              <w:rPr>
                <w:sz w:val="16"/>
              </w:rPr>
              <w:t>Evgeny Andreyevich (geboren 1981)</w:t>
            </w:r>
          </w:p>
        </w:tc>
        <w:tc>
          <w:tcPr>
            <w:tcW w:w="2835" w:type="dxa"/>
            <w:vAlign w:val="center"/>
          </w:tcPr>
          <w:p w14:paraId="1C25368D" w14:textId="77777777" w:rsidR="00D67E55" w:rsidRDefault="00F266ED">
            <w:pPr>
              <w:jc w:val="left"/>
            </w:pPr>
            <w:r>
              <w:rPr>
                <w:sz w:val="16"/>
              </w:rPr>
              <w:t>Rechtliche und internationale Ausrichtung des Familienunternehmens; Fortsetzung der Linie im transnationalen Kontext.</w:t>
            </w:r>
          </w:p>
        </w:tc>
      </w:tr>
    </w:tbl>
    <w:p w14:paraId="57FC2ED4" w14:textId="77777777" w:rsidR="00D67E55" w:rsidRDefault="00F266ED">
      <w:pPr>
        <w:pStyle w:val="SmallNote"/>
        <w:rPr>
          <w:rFonts w:hint="eastAsia"/>
        </w:rPr>
      </w:pPr>
      <w:r>
        <w:rPr>
          <w:rFonts w:ascii="Arial" w:hAnsi="Arial"/>
          <w:sz w:val="20"/>
        </w:rPr>
        <w:t>Quelle der direkten Linie und biographische Informationen: Project Life genealogische Untersuchung, 2019, die Daten und Formulierungen in diesem Teil werden gegen diese Familienstudie überprüft.</w:t>
      </w:r>
    </w:p>
    <w:p w14:paraId="009D5888" w14:textId="77777777" w:rsidR="00D67E55" w:rsidRDefault="00F266ED">
      <w:pPr>
        <w:pStyle w:val="21"/>
      </w:pPr>
      <w:r>
        <w:rPr>
          <w:rFonts w:ascii="Arial" w:hAnsi="Arial"/>
          <w:sz w:val="20"/>
        </w:rPr>
        <w:t>2. Koltashi und Rezh: Der Ausgangspunkt</w:t>
      </w:r>
    </w:p>
    <w:p w14:paraId="2F5A00E5" w14:textId="77777777" w:rsidR="00D67E55" w:rsidRDefault="00F266ED">
      <w:r>
        <w:t>Eine Familienstudie zieht eine direkte Linie von Gorokhovs zum Dorf Koltashi im Bezirk Jekaterinburg der Provinz Perm, heute das Territorium des Rezhevsk Stadtbezirks der Region Swerdlovsk, ein wichtiger Punkt, nicht weil es als "Familiennest" romantisiert werden kann, sondern weil es dort ist, dass der Name aufhört, eine Abstraktion zu sein und sich in bestimmte Personen verwandelt, die in Kirchenbüchern aufgezeichnet sind.</w:t>
      </w:r>
    </w:p>
    <w:p w14:paraId="2AE12078" w14:textId="77777777" w:rsidR="00D67E55" w:rsidRDefault="00F266ED">
      <w:r>
        <w:t>Die Studie lieferte mehrere mögliche Erklärungen für den Ursprung der Gorokhov-Familie, vom weltlichen Namen Erbse bis zu einem Spitznamen, der mit Beruf oder Haushaltsspezifität in Verbindung gebracht wird. Für mich ist das Wichtigste nicht Etymologie, sondern die Umwelt. Rezhev-Land wurde an der Grenze von Landwirtschaft, Forstwirtschaft, Bergbau und Uralindustrie gebildet. In der Nähe waren Menschen, für die Handarbeit, Metall, Wald und Straße keine Metaphern waren, sondern Alltag.</w:t>
      </w:r>
    </w:p>
    <w:p w14:paraId="19A76151" w14:textId="77777777" w:rsidR="00D67E55" w:rsidRDefault="00F266ED">
      <w:r>
        <w:lastRenderedPageBreak/>
        <w:t>In den Dokumenten ist der erste direkte Vorfahr, die Generation I, Ivan Vasilyevich Gorokhov, ein Bauer aus dem Dorf Koltashi. Seine Frau ist Anna Grigorievna. Das Datum ihres Lebens wurde nicht durch Forschung bestimmt. Und es gibt eine wichtige Lektion im Familiengedächtnis: Die Abstammung besteht immer aus nicht nur dem, was wir finden, sondern auch aus Leerstellen. Je weiter eine Generation entfernt ist, desto weniger menschliche Stimme bleibt und desto mehr müssen wir mit indirekten Spuren arbeiten.</w:t>
      </w:r>
    </w:p>
    <w:p w14:paraId="454D27B8" w14:textId="77777777" w:rsidR="00D67E55" w:rsidRDefault="00F266ED">
      <w:r>
        <w:t>Ich denke oft, dass wir im Familienunternehmen Dokumente fast in die entgegengesetzte Richtung behandelt haben: Wir hatten das Gefühl, dass die heutigen Gespräche und Vereinbarungen so offensichtlich waren, dass sie nicht im Detail aufgezeichnet werden konnten. Die Abstammung lehrt das Gegenteil: Wenn etwas nicht aufgezeichnet wird, wird nach zwei Generationen sogar die wichtigste Menschheitsgeschichte zu ein paar Zeilen zwischen den Daten.</w:t>
      </w:r>
    </w:p>
    <w:p w14:paraId="3BF9A462" w14:textId="77777777" w:rsidR="00D67E55" w:rsidRDefault="00F266ED">
      <w:pPr>
        <w:pStyle w:val="21"/>
      </w:pPr>
      <w:r>
        <w:rPr>
          <w:rFonts w:ascii="Arial" w:hAnsi="Arial"/>
          <w:sz w:val="20"/>
        </w:rPr>
        <w:t>3. Alexey Ivanovich: Der Krieg, der eine Generation auslöschte</w:t>
      </w:r>
    </w:p>
    <w:p w14:paraId="7324205C" w14:textId="77777777" w:rsidR="00D67E55" w:rsidRDefault="00F266ED">
      <w:r>
        <w:t>Ivan Vasilyevichs Sohn war Alexey Iwanowitsch Gorokhov, geboren am 13. März 1885 in Koltasch, der am nächsten Tag in der Kirche des Dorfes Cheremisskoye getauft wurde, und 1911 heiratete er Glykeria, die die Familie Lukaria, Iwanowna Ushakova, eine Soldatentochter aus Cheremisskoye nannte.</w:t>
      </w:r>
    </w:p>
    <w:p w14:paraId="4BFA64AE" w14:textId="77777777" w:rsidR="00D67E55" w:rsidRDefault="00F266ED">
      <w:r>
        <w:t>Aus der persönlichen Akte ihres Sohnes ist bekannt, dass Alexey Ivanovich für Holzfäller arbeitete, dann kam der Erste Weltkrieg, er wurde in die zaristische Armee mobilisiert und kehrte nie zurück, das genaue Todesdatum in der Studie ist nicht festgelegt; Die Familienmalerei gibt ein Intervall von 1914-1918 an.</w:t>
      </w:r>
    </w:p>
    <w:p w14:paraId="5FF53968" w14:textId="77777777" w:rsidR="00D67E55" w:rsidRDefault="00F266ED">
      <w:r>
        <w:t>Nach seinem Tod blieb Lukeria Iwanowna bei ihren Kindern und heiratete später ein zweites Mal, und Archivaufzeichnungen besagen, dass sie "von lokalen Kulaken gemietet" arbeitete; in den letzten Jahren wurde sie von ihrem Sohn Iwan betreut und in der Familie als "Großmutter Luscha" in Erinnerung geblieben.</w:t>
      </w:r>
    </w:p>
    <w:p w14:paraId="5DA82E96" w14:textId="77777777" w:rsidR="00D67E55" w:rsidRDefault="00F266ED">
      <w:r>
        <w:t>Für mich ist diese kurze Biografie wichtig, weil sie im modernen Sinne wenig Wahl hat: Arbeit, Krieg, Tod, das Bedürfnis einer Mutter, ihr Leben alleine wieder aufzubauen. Manchmal empfinden wir als Unternehmer einer anderen Zeit Risiko als unsere eigene Entscheidung: ein Projekt zu starten, Geld zu leihen, in ein neues Land zu gehen. Für frühere Generationen kam das Risiko oft von außen und bat nicht um Zustimmung.</w:t>
      </w:r>
      <w:r>
        <w:lastRenderedPageBreak/>
        <w:t/>
      </w:r>
    </w:p>
    <w:p w14:paraId="1810083C" w14:textId="77777777" w:rsidR="00D67E55" w:rsidRDefault="00F266ED">
      <w:pPr>
        <w:pStyle w:val="21"/>
      </w:pPr>
      <w:r>
        <w:rPr>
          <w:rFonts w:ascii="Arial" w:hAnsi="Arial"/>
          <w:sz w:val="20"/>
        </w:rPr>
        <w:t>4. Ivan Alexeyevich: Richter, Krieg und ein schwieriger Charakter</w:t>
      </w:r>
    </w:p>
    <w:p w14:paraId="3A18B42C" w14:textId="77777777" w:rsidR="00D67E55" w:rsidRDefault="00F266ED">
      <w:r>
        <w:t>Ivan Alexeyevich Gorokhov wurde im September 1912 in eine Familie eines Einwohners von Koltasch geboren, und in seinen eigenen Dokumenten nannte er den Geburtsort von Cheremisskoye; Forscher auf Kirchenbüchern identifizierten Koltashi, und sogar sein Geburtsdatum existiert in zwei Kalenderversionen: 13. September im alten Stil und 27. September in späteren Dokumenten.</w:t>
      </w:r>
    </w:p>
    <w:p w14:paraId="60C4D5AC" w14:textId="77777777" w:rsidR="00D67E55" w:rsidRDefault="00F266ED">
      <w:r>
        <w:t>Seine Familie war arm, sein Beruf wurde nicht vererbt, er schrieb sich nach der Grundschule in die Rezhevsk Berufsschule ein, um Schlosserei zu studieren, aber er konnte sein Studium wegen Geldmangels nicht abschließen, arbeitete im Haushalt seiner Mutter und seines Stiefvaters, wurde dann von Komsomol als Dorfratsschreiber nominiert, arbeitete in der Spar- und Finanzabteilung und als junger Mann ging sein Weg durch Dokumente, Geld und staatliche Institutionen.</w:t>
      </w:r>
    </w:p>
    <w:p w14:paraId="7A461194" w14:textId="77777777" w:rsidR="00D67E55" w:rsidRDefault="00F266ED">
      <w:r>
        <w:t>In den 1930er Jahren trat er in das Justizsystem ein: ein Gerichtsschreiber, ein Notar, dann ein Volksrichter; 1939 wurde er als eine Person charakterisiert, die kompetent im Schreiben von Gerichtsdokumenten und gewissenhaft in seiner Arbeit war, und es ist fast seltsam, Jahrzehnte später zu lesen, zu wissen, wie viel die Gerichte und Dokumente in meinem eigenen Leben spielen würden.</w:t>
      </w:r>
    </w:p>
    <w:p w14:paraId="6D1D62C2" w14:textId="77777777" w:rsidR="00D67E55" w:rsidRDefault="00F266ED">
      <w:r>
        <w:t>Im August 1941 wurde er in die Armee eingezogen, diente als Sekretär eines Militärtribunals, dann als Mitglied eines Militärtribunals, ausgebildet als Militäranwalt, im Jahr 1943 wurde er zum leitenden Ermittler der SMERSH-Geheimdienstabteilung der 135. Gewehrdivision ernannt und am 9. Mai 1945 wurde er Leiter der Untersuchungsabteilung, zu seinen Auszeichnungen gehören die Medaille für Mut, der Orden des Roten Sterns, der Orden des Zweiten Vaterländischen Krieges und die Medaille für den Sieg über Deutschland.</w:t>
      </w:r>
    </w:p>
    <w:p w14:paraId="1B62A065" w14:textId="77777777" w:rsidR="00D67E55" w:rsidRDefault="00F266ED">
      <w:r>
        <w:t>Andrey Yuryevich erinnerte daran, dass sein Großvater von allen Auszeichnungen die Courage Medal besonders schätzte und kaum über Krieg sprach, und der Tag des Sieges hielt ihn still, eine dieser Berührungen, die kein offizieller Fragebogen ersetzen kann.</w:t>
      </w:r>
    </w:p>
    <w:p w14:paraId="31AFF62B" w14:textId="77777777" w:rsidR="00D67E55" w:rsidRDefault="00F266ED">
      <w:r>
        <w:t>Nach dem Krieg wurde das Leben nicht zu einer geraden Karrierelinie. Ivan Alexeyevich arbeitete wieder als Richter, wechselte dann ganz andere Berufe: Er führte eine Tochterfirma, arbeitete in einer Nickelfabrik, in einem Artel, in einer Holzindustrie, in den 1960er Jahren zog die Familie von Resch nach Swerdlowsk, und seine Verwandten erinnerten sich an ihn als einen harten Mann.</w:t>
      </w:r>
      <w:r>
        <w:lastRenderedPageBreak/>
        <w:t/>
      </w:r>
    </w:p>
    <w:p w14:paraId="4683A14B" w14:textId="77777777" w:rsidR="00D67E55" w:rsidRDefault="00F266ED">
      <w:r>
        <w:t>In einer Familie wird Zähigkeit manchmal als Stärke angesehen, und wenn ich älter werde, ist es ambivalent, es hilft bei Krieg und Krise, aber es kann es schwieriger machen, mit geliebten Menschen zu sprechen, und ich denke, in jeder Generation müssen wir uns neu entscheiden, wo Härte die Familie schützt und wo es beginnt, unsere Fähigkeit, einander zu hören, zu zerstören.</w:t>
      </w:r>
    </w:p>
    <w:p w14:paraId="42CF93A3" w14:textId="77777777" w:rsidR="00D67E55" w:rsidRDefault="00D67E55">
      <w:pPr>
        <w:jc w:val="center"/>
      </w:pPr>
    </w:p>
    <w:p w14:paraId="305FA271" w14:textId="77777777" w:rsidR="00D67E55" w:rsidRDefault="00F266ED">
      <w:pPr>
        <w:pStyle w:val="SmallNote"/>
        <w:rPr>
          <w:rFonts w:hint="eastAsia"/>
        </w:rPr>
      </w:pPr>
      <w:r>
        <w:rPr>
          <w:rFonts w:ascii="Arial" w:hAnsi="Arial"/>
          <w:sz w:val="20"/>
        </w:rPr>
        <w:t>Zoya Alexandrovna und Ivan Alexeyevich Gorokhov, 30. September 1941 Familienarchiv / Genealogische Forschung 2019.</w:t>
      </w:r>
    </w:p>
    <w:p w14:paraId="5FE794CD" w14:textId="77777777" w:rsidR="00D67E55" w:rsidRDefault="00F266ED">
      <w:pPr>
        <w:pStyle w:val="21"/>
      </w:pPr>
      <w:r>
        <w:rPr>
          <w:rFonts w:ascii="Arial" w:hAnsi="Arial"/>
          <w:sz w:val="20"/>
        </w:rPr>
        <w:t>5. Yuri Ivanovich: Die Geografie der Arbeit</w:t>
      </w:r>
    </w:p>
    <w:p w14:paraId="52446ED0" w14:textId="77777777" w:rsidR="00D67E55" w:rsidRDefault="00F266ED">
      <w:r>
        <w:t>Yuri Ivanovich Gorokhov wurde am 15. Jänner 1934 in Resch geboren, ein junger Boxer, absolvierte 1952 das Swerdlowsk Mining and Metallurgical College und wurde in eine Mine in der Region Karaganda geschickt, und seine Karriere als Landvermesser beschreibt seinen Charakter gut: Sie müssen sehen, was unter der Erde verborgen ist, messen, vergleichen und auf Genauigkeit antworten, wo Fehler teuer sein können.</w:t>
      </w:r>
    </w:p>
    <w:p w14:paraId="265C0272" w14:textId="77777777" w:rsidR="00D67E55" w:rsidRDefault="00F266ED">
      <w:r>
        <w:t>Dann wird seine Biographie fast zu einer Karte der Sowjetunion: die Gulshad-Mine, die Armee, der Bau der Kupferabbau- und -verarbeitungsanlage von Urup, die Magadan-Region, Norilsk, Wladiwostok, Krim, wieder Norilsk. Er arbeitete als Chefvermesser, Vorarbeiter, Bauleiter, für seine Arbeit erhielt er den Ehrenorden, Medaillen, den Titel eines Veteranen der Arbeit.</w:t>
      </w:r>
    </w:p>
    <w:p w14:paraId="32D6A3EF" w14:textId="77777777" w:rsidR="00D67E55" w:rsidRDefault="00F266ED">
      <w:r>
        <w:t>Seine Frau, Elena Evgenyevna Globina, wurde 1937 auf der Krim geboren, und durch ihre direkte Familiengeschichte umfasst sie die Krim-Zweige von Globiny und Goncharenko, so dass die Familienkarte den Ural und die Krim verbindet, lange bevor meine Generation zwischen mehreren Ländern gleichzeitig lebte.</w:t>
      </w:r>
    </w:p>
    <w:p w14:paraId="6F5BDD77" w14:textId="77777777" w:rsidR="00D67E55" w:rsidRDefault="00F266ED">
      <w:r>
        <w:t>Yuri Ivanovich zog sich 1984 zurück, arbeitete aber weiterhin als Taxifahrer und zog 1997 mit Elena Evgenjewna nach Moskau, um seinem Sohn näher zu sein, einem strengen Mann mit einem wunderbaren Sinn für Humor.</w:t>
      </w:r>
      <w:r>
        <w:lastRenderedPageBreak/>
        <w:t/>
      </w:r>
    </w:p>
    <w:p w14:paraId="324C0FAC" w14:textId="77777777" w:rsidR="00D67E55" w:rsidRDefault="00F266ED">
      <w:r>
        <w:t>Die Studie hat einen Satz, der heute fast wie eine Warnung an die ganze Familie klingt: "Wir sind eine Familie, und wir treffen uns nur bei Beerdigungen..." Ich komme besonders nach den Ereignissen der letzten Jahre darauf zurück. Die Familie wird nicht nur durch hochkarätige Konflikte zerstört. Manchmal verschiebt es das Treffen, das ehrliche Gespräch und die gemeinsame Entscheidung, bis es jahrzehntelang zu spät ist.</w:t>
      </w:r>
    </w:p>
    <w:p w14:paraId="2B0213A0" w14:textId="77777777" w:rsidR="00D67E55" w:rsidRDefault="00D67E55">
      <w:pPr>
        <w:jc w:val="center"/>
      </w:pPr>
    </w:p>
    <w:p w14:paraId="09B7A84F" w14:textId="77777777" w:rsidR="00D67E55" w:rsidRDefault="00F266ED">
      <w:pPr>
        <w:pStyle w:val="SmallNote"/>
        <w:rPr>
          <w:rFonts w:hint="eastAsia"/>
        </w:rPr>
      </w:pPr>
      <w:r>
        <w:rPr>
          <w:rFonts w:ascii="Arial" w:hAnsi="Arial"/>
          <w:sz w:val="20"/>
        </w:rPr>
        <w:t>Yuri Ivanovich Gorokhov, Familienarchiv / Genealogische Forschung 2019.</w:t>
      </w:r>
    </w:p>
    <w:p w14:paraId="65C0A79A" w14:textId="77777777" w:rsidR="00D67E55" w:rsidRDefault="00F266ED">
      <w:pPr>
        <w:pStyle w:val="21"/>
      </w:pPr>
      <w:r>
        <w:rPr>
          <w:rFonts w:ascii="Arial" w:hAnsi="Arial"/>
          <w:sz w:val="20"/>
        </w:rPr>
        <w:t>6. Andrey Yuryevich: Vom Ingenieur zum Unternehmer und zu Miramistin</w:t>
      </w:r>
    </w:p>
    <w:p w14:paraId="2AEAB509" w14:textId="77777777" w:rsidR="00D67E55" w:rsidRDefault="00F266ED">
      <w:r>
        <w:t>Andrey Yuryevich wurde am 13. Jänner 1960 im Dorf Gulshad in der Region Karaganda geboren - bereits in der Geographie der Arbeit, die sein Vater gewählt hatte. Er wurde Meister des Sports im Freestyle-Ringen, absolvierte die Bauman MSTU mit einem Abschluss in Flugdynamik und Kontrolle, diente in der Luftverteidigung, arbeitete als Ingenieur und Führer im sowjetischen Maschinenbausystem.</w:t>
      </w:r>
    </w:p>
    <w:p w14:paraId="092FD7F0" w14:textId="77777777" w:rsidR="00D67E55" w:rsidRDefault="00F266ED">
      <w:r>
        <w:t>1990 übernahm er Mashcenter, ein kleines staatliches Unternehmen, eine Ära, in der alte Institutionen schneller verschwanden als neue Regeln auftauchten: Computertechnologie, Wasserverpackungen, neue kommerzielle Projekte - Unternehmertum begann selten mit einem perfekten Geschäftsplan, es begann mit der Fähigkeit, eine Gelegenheit zu sehen und Menschen um sich herum zu versammeln.</w:t>
      </w:r>
    </w:p>
    <w:p w14:paraId="0B7BD879" w14:textId="77777777" w:rsidR="00D67E55" w:rsidRDefault="00F266ED">
      <w:r>
        <w:t>Neben seiner Vertrautheit mit der wissenschaftlichen Entwicklung, aus der Miramistin hervorgegangen ist. Eine genealogische Studie aus dem Jahr 2019 beschreibt den Weg der zusätzlichen Forschung und der Markteinführung des Medikaments als einen Prozess von etwa fünfzehn Jahren. Für die Familie war es kein schnelles kommerzielles Projekt, sondern eine große Distanz zwischen wissenschaftlicher Entwicklung, Registrierung, Produktion und Markt.</w:t>
      </w:r>
    </w:p>
    <w:p w14:paraId="292C5BF8" w14:textId="77777777" w:rsidR="00D67E55" w:rsidRDefault="00F266ED">
      <w:r>
        <w:lastRenderedPageBreak/>
        <w:t>Später kamen Lehre, Doktorarbeit, Bankerfahrung, Arbeit in der Kaliningrader Regionalduma und regionalen Entwicklungsinstitutionen, aber für die Familiengeschichte bleibt die greifbarste Spur die industrielle Infrastruktur geschaffen. Im Jahr 2009 erwarb das Unternehmen Land in Bagrationovsk; das Werk und Industriepark "Ecobaltik" wurden fast von Grund auf neu gebaut, es war nicht mehr ein Geschäft von einem Produkt, sondern ein Versuch, ein industrielles Umfeld zu schaffen.</w:t>
      </w:r>
    </w:p>
    <w:p w14:paraId="25D113E9" w14:textId="77777777" w:rsidR="00D67E55" w:rsidRDefault="00F266ED">
      <w:r>
        <w:t>Ich bin in dieser Größenordnung aufgewachsen. Es ist sehr schwierig für einen Sohn, einen Vater als Person von einem Vater als Quelle des Geschäftswillens zu trennen. Solange das System funktioniert, beschleunigt Familienautorität Entscheidungen: Man muss nicht jedes Mal ein kompliziertes Verfahren entwerfen, wenn jeder versteht, was der Gründer wollte, aber in einer Krise wird die gleiche Konstruktion zu einer Verwundbarkeit. Was gestern offensichtlich war Familienmandat, morgen musst du es mit dem Protokoll einer bestimmten juristischen Person beweisen.</w:t>
      </w:r>
    </w:p>
    <w:p w14:paraId="60F58AD0" w14:textId="77777777" w:rsidR="00D67E55" w:rsidRDefault="00F266ED">
      <w:r>
        <w:t>In diesem Kapitel geht es für mich nicht nur um die Errungenschaften von Andrey Yuryevich, sondern es erklärt die Ursprünge des Managementmodells, in dem wir uns später befanden. Der größte Teil des Unternehmens entstand aus persönlicher Energie, dem Vertrauen der Partner und der Fähigkeit, Wissenschaft, Produktion, Recht und Finanzen schnell zu verbinden. Die Unternehmensarchitektur entwickelte sich später und hielt nicht immer Schritt mit dem realen Maßstab des Systems.</w:t>
      </w:r>
    </w:p>
    <w:p w14:paraId="46DB3E1B" w14:textId="77777777" w:rsidR="00D67E55" w:rsidRDefault="00D67E55">
      <w:pPr>
        <w:jc w:val="center"/>
      </w:pPr>
    </w:p>
    <w:p w14:paraId="63EA64E7" w14:textId="77777777" w:rsidR="00D67E55" w:rsidRDefault="00F266ED">
      <w:pPr>
        <w:pStyle w:val="SmallNote"/>
        <w:rPr>
          <w:rFonts w:hint="eastAsia"/>
        </w:rPr>
      </w:pPr>
      <w:r>
        <w:rPr>
          <w:rFonts w:ascii="Arial" w:hAnsi="Arial"/>
          <w:sz w:val="20"/>
        </w:rPr>
        <w:t>Andrey Yuryevich Gorokhov mit seinem Sohn Evgeny. Familienarchiv / genealogische Forschung 2019.</w:t>
      </w:r>
    </w:p>
    <w:p w14:paraId="322DDC9E" w14:textId="77777777" w:rsidR="00D67E55" w:rsidRDefault="00F266ED">
      <w:pPr>
        <w:pStyle w:val="21"/>
      </w:pPr>
      <w:r>
        <w:rPr>
          <w:rFonts w:ascii="Arial" w:hAnsi="Arial"/>
          <w:sz w:val="20"/>
        </w:rPr>
        <w:t>7. Die Generation der Söhne: Ein Unternehmen, unterschiedliche Rollen</w:t>
      </w:r>
    </w:p>
    <w:p w14:paraId="2475660D" w14:textId="77777777" w:rsidR="00D67E55" w:rsidRDefault="00F266ED">
      <w:r>
        <w:t>In der nächsten Generation wird die Familiengeschichte bereits Teil der Geschichte, die ich in der ersten Person erzählen kann. In der genealogischen Untersuchung von 2019 werden Andrey Yuryevichs Söhne Evgeny, Dmitry und Anton aufgezeichnet; es spiegelt auch die jüngere Tochter Daria wider. Zum Zeitpunkt der Studie hatten wir unsere eigenen Familien und die nächste Generation von Kindern.</w:t>
      </w:r>
    </w:p>
    <w:p w14:paraId="46D8D398" w14:textId="77777777" w:rsidR="00D67E55" w:rsidRDefault="00F266ED">
      <w:r>
        <w:t>Ich wurde 1981 in Moskau geboren und entschied mich für Recht und internationales Geschäft, und Dmitry, geboren 1985, graduierte in Wirtschaft und Management und war hauptsächlich im Finanzkreislauf, und Anton wurde 2003 in Wien geboren und gehört zu einer Generation, für die das Leben zwischen Ländern keine Ausnahme war, sondern eine erste Realität.</w:t>
      </w:r>
      <w:r>
        <w:lastRenderedPageBreak/>
        <w:t/>
      </w:r>
    </w:p>
    <w:p w14:paraId="073A4404" w14:textId="77777777" w:rsidR="00D67E55" w:rsidRDefault="00F266ED">
      <w:r>
        <w:t>In einem Familienunternehmen scheinen unterschiedliche Rollen zunächst ein natürlicher Vorteil zu sein: eine Person befasst sich mit dem Recht und den internationalen Beziehungen, eine andere mit dem Finanzwesen, eine dritte erhält schließlich einen formellen Titel für ein bestimmtes Vermögen. Wenn das Vertrauen hoch ist, funktioniert das System sehr schnell. Jeder weiß mehr in seinem Bereich, glaubt aber, dass das gemeinsame Interesse für alle klar ist.</w:t>
      </w:r>
    </w:p>
    <w:p w14:paraId="6150001A" w14:textId="77777777" w:rsidR="00D67E55" w:rsidRDefault="00F266ED">
      <w:r>
        <w:t>Später wurde diese Spezialisierung zu einer der Ursachen für die Informationsasymmetrie: Finanzen, Recht, Produktion, Eigentum und persönliche Beziehungen wurden unter verschiedenen Menschen aufgeteilt. Als das Vertrauen zu sinken begann, sah niemand mehr das System auf die gleiche Weise, jeder hatte seine eigenen Dokumente und sein eigenes Verständnis dessen, was "wirklich" entschieden wurde.</w:t>
      </w:r>
    </w:p>
    <w:p w14:paraId="5520DD8E" w14:textId="77777777" w:rsidR="00D67E55" w:rsidRDefault="00F266ED">
      <w:r>
        <w:t>Es ist nicht so, dass das Trennen von Funktionen ein Fehler war. Es ist ein weiterer Fehler: Wir haben es nicht mit einem formalen System des Zugangs zu gemeinsamen Informationen und Verfahren ergänzt, das sogar in Konfliktsituationen funktionieren würde. Die Familie kann sich verschiedene Charaktere leisten. Das Unternehmenssystem sollte keine verschiedenen Versionen derselben Lösung zulassen.</w:t>
      </w:r>
    </w:p>
    <w:p w14:paraId="68E070F1" w14:textId="77777777" w:rsidR="00D67E55" w:rsidRDefault="00D67E55">
      <w:pPr>
        <w:jc w:val="center"/>
      </w:pPr>
    </w:p>
    <w:p w14:paraId="0559BE06" w14:textId="77777777" w:rsidR="00D67E55" w:rsidRDefault="00F266ED">
      <w:pPr>
        <w:pStyle w:val="SmallNote"/>
        <w:rPr>
          <w:rFonts w:hint="eastAsia"/>
        </w:rPr>
      </w:pPr>
      <w:r>
        <w:rPr>
          <w:rFonts w:ascii="Arial" w:hAnsi="Arial"/>
          <w:sz w:val="20"/>
        </w:rPr>
        <w:t>Die Familie Gorokhov (männlich), 2018. Foto von der genealogischen Studie 2019.</w:t>
      </w:r>
    </w:p>
    <w:p w14:paraId="5EDB91F1" w14:textId="77777777" w:rsidR="00D67E55" w:rsidRDefault="00F266ED">
      <w:pPr>
        <w:pStyle w:val="21"/>
      </w:pPr>
      <w:r>
        <w:rPr>
          <w:rFonts w:ascii="Arial" w:hAnsi="Arial"/>
          <w:sz w:val="20"/>
        </w:rPr>
        <w:t>8. Fünf Familienzweige und eine gemeinsame Familienkarte</w:t>
      </w:r>
    </w:p>
    <w:p w14:paraId="287AB95F" w14:textId="77777777" w:rsidR="00D67E55" w:rsidRDefault="00F266ED">
      <w:r>
        <w:t>Die Studie 2019 beschränkte sich nicht nur auf den Namen Gorokhov, sondern umfasste fünf Zweige: Gorokhovs, Chumichevs, Globins, Goncharenkos und Swistovs. Für ein Familienbuch ist dies wichtig, da der Nachname immer die Illusion einer geraden Linie erzeugt, obwohl jede Person das Ergebnis mehrerer Geschichten ist.</w:t>
      </w:r>
    </w:p>
    <w:p w14:paraId="07263DCB" w14:textId="77777777" w:rsidR="00D67E55" w:rsidRDefault="00F266ED">
      <w:r>
        <w:t>Die Gorokhovs in der Studie sind mit dem Dorf Koltashi im Bezirk Rezhevsky verbunden; die Tschumichevs mit der Stadt Rezh. Durch Zoya Alexandrovna Tschumichev gelangte dieser Zweig in die Familie von Iwan Alekseevich. Die Forscher konnten Informationen über ihre Geburt, Eltern, Brüder und Schwestern durch das Standesamt und das Staatsarchiv der Region Swerdlovsk ermitteln.</w:t>
      </w:r>
      <w:r>
        <w:lastRenderedPageBreak/>
        <w:t/>
      </w:r>
    </w:p>
    <w:p w14:paraId="611D44C6" w14:textId="77777777" w:rsidR="00D67E55" w:rsidRDefault="00F266ED">
      <w:r>
        <w:t>Globins und Goncharenko führen zur Krim, und die Studie weist auf das Dorf Mazanka für Globins und das Dorf Barabanovo für Goncharenko hin, die an Kirchenbüchern und Archivakten arbeiten, einschließlich der Untersuchung von Nikolai Kharitonovich Goncharenko und dem Filtrationsfall von Vladimir Evgenievich Globin.</w:t>
      </w:r>
    </w:p>
    <w:p w14:paraId="3AE44A54" w14:textId="77777777" w:rsidR="00D67E55" w:rsidRDefault="00F266ED">
      <w:r>
        <w:t>Laut Swistov korrigierte die Studie die Familientradition: Die Wurzeln wurden mit der Provinz Ryazan in Verbindung gebracht, nicht mit Charkiw, wie zuvor angenommen, dem Geburtsort von Tichon Iljitsch Swistow, Informationen über seine Teilnahme am Ersten Weltkrieg und Bürgerkrieg und über seine Arbeitsorte. Auf einer modernen Karte ist der Ausgangspunkt dieses Zweigs Odoevshchina des Bezirks Dankiv der Region Lipetsk.</w:t>
      </w:r>
    </w:p>
    <w:p w14:paraId="63044FA8" w14:textId="77777777" w:rsidR="00D67E55" w:rsidRDefault="00F266ED">
      <w:r>
        <w:t>Ich ziehe eine einfache Schlussfolgerung aus dieser Karte: Die Familie war nie geographisch stationär. Der Ural, die Krim, Kasachstan, der Norden, Moskau, Österreich, die Bewegung war konstant. Das internationale Leben unserer Generation ist also kein Bruch mit der Vergangenheit. Es hat nur eine andere Form angenommen: Vorfahren haben die Städte um meiner, des Baus oder des Dienstes willen verändert; wir für Wirtschaft, Bildung, Recht und Sicherheit.</w:t>
      </w:r>
    </w:p>
    <w:p w14:paraId="3770C363" w14:textId="77777777" w:rsidR="00D67E55" w:rsidRDefault="00F266ED">
      <w:pPr>
        <w:pStyle w:val="21"/>
      </w:pPr>
      <w:r>
        <w:rPr>
          <w:rFonts w:ascii="Arial" w:hAnsi="Arial"/>
          <w:sz w:val="20"/>
        </w:rPr>
        <w:t>9. Was außer Vermögen vererbt wird</w:t>
      </w:r>
    </w:p>
    <w:p w14:paraId="7C048141" w14:textId="77777777" w:rsidR="00D67E55" w:rsidRDefault="00F266ED">
      <w:r>
        <w:t>Nach jahrelangen Eigentumsstreitigkeiten kann das Wort Vererbung leicht auf Vermögenswerte reduziert werden: Aktien, Immobilien, Markenrechte, Verträge, Geld, aber der Stammbaum, den ich vor dieser Ausgabe des Buches noch einmal gelesen habe, lässt Sie ein wenig breiter aussehen.</w:t>
      </w:r>
    </w:p>
    <w:p w14:paraId="53DFA814" w14:textId="77777777" w:rsidR="00D67E55" w:rsidRDefault="00F266ED">
      <w:r>
        <w:t>Von Ivan Alekseevich kam das Familienunternehmen nicht zu uns: Charakter, Fotografien, ein paar Dokumente, die Erinnerung an den Krieg und die Idee der Disziplin. Von Yuri Ivanovich, nicht die Mine, nicht die Bauleitung, sondern die Gewohnheit von Arbeit, Mobilität und Genauigkeit. Andrey Yuryevich schuf ein materielles System, das weitergegeben werden konnte, aber gerade weil das Erbe zum ersten Mal so groß und komplex wurde, erforderte es Regeln, die die Familientradition vorher nicht kannte.</w:t>
      </w:r>
      <w:r>
        <w:lastRenderedPageBreak/>
        <w:t/>
      </w:r>
    </w:p>
    <w:p w14:paraId="463FDEB5" w14:textId="77777777" w:rsidR="00D67E55" w:rsidRDefault="00F266ED">
      <w:r>
        <w:t>Ich möchte nicht, dass die Nachwelt die folgenden Kapitel liest und entscheidet, dass die Gorokhov-Geschichte eine Geschichte von Unternehmenskonflikten ist, dass es ein paar Jahre gedauert hat, dass die Gattung länger gedauert hat, dass es Krieg, Technik, Umsiedlung, Herstellung, Bildung von Kindern gab und dass es danach ein Leben geben muss.</w:t>
      </w:r>
    </w:p>
    <w:p w14:paraId="1B4F9E9F" w14:textId="77777777" w:rsidR="00D67E55" w:rsidRDefault="00F266ED">
      <w:r>
        <w:t>Wenn dieses Buch wirklich in der Familie überlebt, möchte ich, dass der Stammbaum immer vor dem legalen bleibt, nicht um jemanden zu rechtfertigen, indem er sich auf Vorfahren bezieht, sondern um die Waage richtig zu stellen, und kein Argument sollte zu einem großen Familienerbe werden.</w:t>
      </w:r>
    </w:p>
    <w:p w14:paraId="5884FD92" w14:textId="77777777" w:rsidR="00D67E55" w:rsidRDefault="00F266ED">
      <w:r>
        <w:t>Deshalb beginnt meine Hauptbotschaft für die Nachwelt jetzt früher als in der ersten Version der Memoiren: Schützen Sie mehr als nur Eigentum; Schützen Sie die Fähigkeit der Familie, ein gemeinsames Gedächtnis zu bewahren; Andernfalls wird jeder Konflikt damit beginnen, neu zu erklären, wer wir einander sind.</w:t>
      </w:r>
    </w:p>
    <w:p w14:paraId="0100B2A5" w14:textId="77777777" w:rsidR="00D67E55" w:rsidRDefault="00D67E55">
      <w:pPr>
        <w:jc w:val="center"/>
      </w:pPr>
    </w:p>
    <w:p w14:paraId="12D206F0" w14:textId="77777777" w:rsidR="00D67E55" w:rsidRDefault="00F266ED">
      <w:pPr>
        <w:pStyle w:val="SmallNote"/>
        <w:rPr>
          <w:rFonts w:hint="eastAsia"/>
        </w:rPr>
      </w:pPr>
      <w:r>
        <w:rPr>
          <w:rFonts w:ascii="Arial" w:hAnsi="Arial"/>
          <w:sz w:val="20"/>
        </w:rPr>
        <w:t>Andrey Yuryevich Gorokhov mit seinen Söhnen Evgeny, Anton und Dmitry und Elena Evgenyevna Gorokhova.</w:t>
      </w:r>
    </w:p>
    <w:p w14:paraId="1E60D200" w14:textId="77777777" w:rsidR="00D67E55" w:rsidRDefault="00F266ED">
      <w:pPr>
        <w:pStyle w:val="SmallNote"/>
        <w:rPr>
          <w:rFonts w:hint="eastAsia"/>
        </w:rPr>
      </w:pPr>
      <w:r>
        <w:rPr>
          <w:rFonts w:ascii="Arial" w:hAnsi="Arial"/>
          <w:sz w:val="20"/>
        </w:rPr>
        <w:t>Andrey Gorokhovs Panorama-Stammbaum (2019) wird als separater Anhang im Familienarchiv aufbewahrt. Aufgrund seines großen horizontalen Formats weist das Buch eine vereinfachte gerade Linie auf, anstatt eine reduzierte unlesbare Kopie des vollständigen Baums.</w:t>
      </w:r>
    </w:p>
    <w:p w14:paraId="0364FA72" w14:textId="77777777" w:rsidR="00D67E55" w:rsidRDefault="00F266ED">
      <w:pPr>
        <w:pStyle w:val="21"/>
        <w:jc w:val="both"/>
      </w:pPr>
      <w:r>
        <w:rPr>
          <w:rFonts w:ascii="Arial" w:hAnsi="Arial"/>
          <w:sz w:val="20"/>
        </w:rPr>
        <w:t>Übergang zur Unternehmensgeschichte</w:t>
      </w:r>
    </w:p>
    <w:p w14:paraId="53E8983B" w14:textId="77777777" w:rsidR="00D67E55" w:rsidRDefault="00F266ED">
      <w:pPr>
        <w:pStyle w:val="NoIndent"/>
        <w:rPr>
          <w:rFonts w:hint="eastAsia"/>
        </w:rPr>
      </w:pPr>
      <w:r>
        <w:rPr>
          <w:rFonts w:ascii="Arial" w:hAnsi="Arial"/>
          <w:sz w:val="20"/>
        </w:rPr>
        <w:t>Dann geht das Buch wieder ans Geschäft, aber jetzt sind die Teilnehmer der Ereignisse von 2024-2026 nicht in der Leere: Hinter jedem stehen Familienrollen, langfristige Beziehungen und ihre eigenen Vorstellungen darüber, was hätte bewahrt werden sollen, es schafft keine rechtlichen Fragen ab, im Gegenteil, es hilft zu verstehen, warum das rechtliche Verfahren schwächer war als persönliche Erwartungen.</w:t>
      </w:r>
    </w:p>
    <w:p w14:paraId="1D24E318" w14:textId="77777777" w:rsidR="00D67E55" w:rsidRDefault="00F266ED">
      <w:pPr>
        <w:pStyle w:val="1"/>
        <w:jc w:val="both"/>
      </w:pPr>
      <w:r>
        <w:rPr>
          <w:rFonts w:ascii="Arial" w:hAnsi="Arial"/>
          <w:sz w:val="20"/>
        </w:rPr>
        <w:lastRenderedPageBreak/>
        <w:t>Wer im wirtschaftlichen Teil dieser Geschichte welche Rolle spielt</w:t>
      </w:r>
    </w:p>
    <w:tbl>
      <w:tblPr>
        <w:tblStyle w:val="aff0"/>
        <w:tblW w:w="0" w:type="auto"/>
        <w:jc w:val="center"/>
        <w:tblLook w:val="04A0" w:firstRow="1" w:lastRow="0" w:firstColumn="1" w:lastColumn="0" w:noHBand="0" w:noVBand="1"/>
      </w:tblPr>
      <w:tblGrid>
        <w:gridCol w:w="3232"/>
        <w:gridCol w:w="3232"/>
      </w:tblGrid>
      <w:tr w:rsidR="00D67E55" w14:paraId="31E1D630" w14:textId="77777777">
        <w:trPr>
          <w:cantSplit/>
          <w:tblHeader/>
          <w:jc w:val="center"/>
        </w:trPr>
        <w:tc>
          <w:tcPr>
            <w:tcW w:w="3232" w:type="dxa"/>
            <w:shd w:val="clear" w:color="auto" w:fill="D9E2F3"/>
          </w:tcPr>
          <w:p w14:paraId="2B28CECF" w14:textId="77777777" w:rsidR="00D67E55" w:rsidRDefault="00F266ED">
            <w:pPr>
              <w:keepNext/>
              <w:jc w:val="left"/>
            </w:pPr>
            <w:r>
              <w:rPr>
                <w:b/>
                <w:sz w:val="16"/>
              </w:rPr>
              <w:t>Teilnehmer/Struktur</w:t>
            </w:r>
          </w:p>
        </w:tc>
        <w:tc>
          <w:tcPr>
            <w:tcW w:w="3232" w:type="dxa"/>
            <w:shd w:val="clear" w:color="auto" w:fill="D9E2F3"/>
          </w:tcPr>
          <w:p w14:paraId="5792B2CA" w14:textId="77777777" w:rsidR="00D67E55" w:rsidRDefault="00F266ED">
            <w:pPr>
              <w:keepNext/>
              <w:jc w:val="left"/>
            </w:pPr>
            <w:r>
              <w:rPr>
                <w:b/>
                <w:sz w:val="16"/>
              </w:rPr>
              <w:t>Rolle im Narrativ</w:t>
            </w:r>
          </w:p>
        </w:tc>
      </w:tr>
      <w:tr w:rsidR="00D67E55" w14:paraId="7557E4CA" w14:textId="77777777">
        <w:trPr>
          <w:cantSplit/>
          <w:jc w:val="center"/>
        </w:trPr>
        <w:tc>
          <w:tcPr>
            <w:tcW w:w="3232" w:type="dxa"/>
          </w:tcPr>
          <w:p w14:paraId="3FE2AB01" w14:textId="77777777" w:rsidR="00D67E55" w:rsidRDefault="00F266ED">
            <w:pPr>
              <w:jc w:val="left"/>
            </w:pPr>
            <w:r>
              <w:rPr>
                <w:sz w:val="16"/>
              </w:rPr>
              <w:t>Evgeny Gorokhov (Evgeny Gorokhov)</w:t>
            </w:r>
          </w:p>
        </w:tc>
        <w:tc>
          <w:tcPr>
            <w:tcW w:w="3232" w:type="dxa"/>
          </w:tcPr>
          <w:p w14:paraId="75C72EB6" w14:textId="77777777" w:rsidR="00D67E55" w:rsidRDefault="00F266ED">
            <w:pPr>
              <w:jc w:val="left"/>
            </w:pPr>
            <w:r>
              <w:rPr>
                <w:sz w:val="16"/>
              </w:rPr>
              <w:t>Autor; International, IP und Management-Schaltung; einer der Hauptvollstrecker der Restrukturierung.</w:t>
            </w:r>
          </w:p>
        </w:tc>
      </w:tr>
      <w:tr w:rsidR="00D67E55" w14:paraId="104A234C" w14:textId="77777777">
        <w:trPr>
          <w:cantSplit/>
          <w:jc w:val="center"/>
        </w:trPr>
        <w:tc>
          <w:tcPr>
            <w:tcW w:w="3232" w:type="dxa"/>
          </w:tcPr>
          <w:p w14:paraId="47F11025" w14:textId="77777777" w:rsidR="00D67E55" w:rsidRDefault="00F266ED">
            <w:pPr>
              <w:jc w:val="left"/>
            </w:pPr>
            <w:r>
              <w:rPr>
                <w:sz w:val="16"/>
              </w:rPr>
              <w:t>Dmitry Gorokhov (GD)</w:t>
            </w:r>
          </w:p>
        </w:tc>
        <w:tc>
          <w:tcPr>
            <w:tcW w:w="3232" w:type="dxa"/>
          </w:tcPr>
          <w:p w14:paraId="0605318A" w14:textId="77777777" w:rsidR="00D67E55" w:rsidRDefault="00F266ED">
            <w:pPr>
              <w:jc w:val="left"/>
            </w:pPr>
            <w:r>
              <w:rPr>
                <w:sz w:val="16"/>
              </w:rPr>
              <w:t>Der Finanz- und Governance-Kreislauf; seine tatsächlichen Auswirkungen sind eines der Themen des Wiederaufbaus.</w:t>
            </w:r>
          </w:p>
        </w:tc>
      </w:tr>
      <w:tr w:rsidR="00D67E55" w14:paraId="649AB607" w14:textId="77777777">
        <w:trPr>
          <w:cantSplit/>
          <w:jc w:val="center"/>
        </w:trPr>
        <w:tc>
          <w:tcPr>
            <w:tcW w:w="3232" w:type="dxa"/>
          </w:tcPr>
          <w:p w14:paraId="0738DBE0" w14:textId="77777777" w:rsidR="00D67E55" w:rsidRDefault="00F266ED">
            <w:pPr>
              <w:jc w:val="left"/>
            </w:pPr>
            <w:r>
              <w:rPr>
                <w:sz w:val="16"/>
              </w:rPr>
              <w:t>Anton Gorokhov</w:t>
            </w:r>
          </w:p>
        </w:tc>
        <w:tc>
          <w:tcPr>
            <w:tcW w:w="3232" w:type="dxa"/>
          </w:tcPr>
          <w:p w14:paraId="2B57DBDF" w14:textId="77777777" w:rsidR="00D67E55" w:rsidRDefault="00F266ED">
            <w:pPr>
              <w:jc w:val="left"/>
            </w:pPr>
            <w:r>
              <w:rPr>
                <w:sz w:val="16"/>
              </w:rPr>
              <w:t>Formaler Eigentümer und Verkäufer von Infamed K LLC in M &amp; A 2025; aktiver Verhandlungsführer.</w:t>
            </w:r>
          </w:p>
        </w:tc>
      </w:tr>
      <w:tr w:rsidR="00D67E55" w14:paraId="76BEFE27" w14:textId="77777777">
        <w:trPr>
          <w:cantSplit/>
          <w:jc w:val="center"/>
        </w:trPr>
        <w:tc>
          <w:tcPr>
            <w:tcW w:w="3232" w:type="dxa"/>
          </w:tcPr>
          <w:p w14:paraId="1E461757" w14:textId="77777777" w:rsidR="00D67E55" w:rsidRDefault="00F266ED">
            <w:pPr>
              <w:jc w:val="left"/>
            </w:pPr>
            <w:r>
              <w:rPr>
                <w:sz w:val="16"/>
              </w:rPr>
              <w:t>Andrey Yuryevich Gorokow</w:t>
            </w:r>
          </w:p>
        </w:tc>
        <w:tc>
          <w:tcPr>
            <w:tcW w:w="3232" w:type="dxa"/>
          </w:tcPr>
          <w:p w14:paraId="01FA348F" w14:textId="77777777" w:rsidR="00D67E55" w:rsidRDefault="00F266ED">
            <w:pPr>
              <w:jc w:val="left"/>
            </w:pPr>
            <w:r>
              <w:rPr>
                <w:sz w:val="16"/>
              </w:rPr>
              <w:t>Eines der wichtigsten Familien- / Eigentumszentren; sein Wille zu individuellen Entscheidungen erfordert eine dokumentarische Unterscheidung.</w:t>
            </w:r>
          </w:p>
        </w:tc>
      </w:tr>
      <w:tr w:rsidR="00D67E55" w14:paraId="3C84935C" w14:textId="77777777">
        <w:trPr>
          <w:cantSplit/>
          <w:jc w:val="center"/>
        </w:trPr>
        <w:tc>
          <w:tcPr>
            <w:tcW w:w="3232" w:type="dxa"/>
          </w:tcPr>
          <w:p w14:paraId="182924D2" w14:textId="77777777" w:rsidR="00D67E55" w:rsidRDefault="00F266ED">
            <w:pPr>
              <w:jc w:val="left"/>
            </w:pPr>
            <w:r>
              <w:rPr>
                <w:sz w:val="16"/>
              </w:rPr>
              <w:t>Wjatscheslaw Sidorow</w:t>
            </w:r>
          </w:p>
        </w:tc>
        <w:tc>
          <w:tcPr>
            <w:tcW w:w="3232" w:type="dxa"/>
          </w:tcPr>
          <w:p w14:paraId="7D764010" w14:textId="77777777" w:rsidR="00D67E55" w:rsidRDefault="00F266ED">
            <w:pPr>
              <w:jc w:val="left"/>
            </w:pPr>
            <w:r>
              <w:rPr>
                <w:sz w:val="16"/>
              </w:rPr>
              <w:t>Teilnehmer des Aktien- und Informationskreislaufs; dokumentierte Beteiligung an der Schaffung der VAE-Struktur.</w:t>
            </w:r>
          </w:p>
        </w:tc>
      </w:tr>
      <w:tr w:rsidR="00D67E55" w14:paraId="53166AF8" w14:textId="77777777">
        <w:trPr>
          <w:cantSplit/>
          <w:jc w:val="center"/>
        </w:trPr>
        <w:tc>
          <w:tcPr>
            <w:tcW w:w="3232" w:type="dxa"/>
          </w:tcPr>
          <w:p w14:paraId="4515F97A" w14:textId="77777777" w:rsidR="00D67E55" w:rsidRDefault="00F266ED">
            <w:pPr>
              <w:jc w:val="left"/>
            </w:pPr>
            <w:r>
              <w:rPr>
                <w:sz w:val="16"/>
              </w:rPr>
              <w:t>Oksana Kirpenko und Adolina Rudko</w:t>
            </w:r>
          </w:p>
        </w:tc>
        <w:tc>
          <w:tcPr>
            <w:tcW w:w="3232" w:type="dxa"/>
          </w:tcPr>
          <w:p w14:paraId="77109AFA" w14:textId="77777777" w:rsidR="00D67E55" w:rsidRDefault="00F266ED">
            <w:pPr>
              <w:jc w:val="left"/>
            </w:pPr>
            <w:r>
              <w:rPr>
                <w:sz w:val="16"/>
              </w:rPr>
              <w:t>Mitglied des Aktionärskreises; im September 2024 nahm er an Versuchen der kollektiven Diskussion teil.</w:t>
            </w:r>
          </w:p>
        </w:tc>
      </w:tr>
      <w:tr w:rsidR="00D67E55" w14:paraId="13A287E2" w14:textId="77777777">
        <w:trPr>
          <w:cantSplit/>
          <w:jc w:val="center"/>
        </w:trPr>
        <w:tc>
          <w:tcPr>
            <w:tcW w:w="3232" w:type="dxa"/>
          </w:tcPr>
          <w:p w14:paraId="1E129991" w14:textId="77777777" w:rsidR="00D67E55" w:rsidRDefault="00F266ED">
            <w:pPr>
              <w:jc w:val="left"/>
            </w:pPr>
            <w:r>
              <w:rPr>
                <w:sz w:val="16"/>
              </w:rPr>
              <w:t>Megainpharm GmbH (MIF)</w:t>
            </w:r>
          </w:p>
        </w:tc>
        <w:tc>
          <w:tcPr>
            <w:tcW w:w="3232" w:type="dxa"/>
          </w:tcPr>
          <w:p w14:paraId="4A9A119D" w14:textId="77777777" w:rsidR="00D67E55" w:rsidRDefault="00F266ED">
            <w:pPr>
              <w:jc w:val="left"/>
            </w:pPr>
            <w:r>
              <w:rPr>
                <w:sz w:val="16"/>
              </w:rPr>
              <w:t>Österreichisches Unternehmen, historischer Eigentümer eines bedeutenden IP-Arrays.</w:t>
            </w:r>
          </w:p>
        </w:tc>
      </w:tr>
      <w:tr w:rsidR="00D67E55" w14:paraId="1EF7F0C2" w14:textId="77777777">
        <w:trPr>
          <w:cantSplit/>
          <w:jc w:val="center"/>
        </w:trPr>
        <w:tc>
          <w:tcPr>
            <w:tcW w:w="3232" w:type="dxa"/>
          </w:tcPr>
          <w:p w14:paraId="5D43A664" w14:textId="77777777" w:rsidR="00D67E55" w:rsidRDefault="00F266ED">
            <w:pPr>
              <w:jc w:val="left"/>
            </w:pPr>
            <w:r>
              <w:rPr>
                <w:sz w:val="16"/>
              </w:rPr>
              <w:t>Innovexa Holdings</w:t>
            </w:r>
          </w:p>
        </w:tc>
        <w:tc>
          <w:tcPr>
            <w:tcW w:w="3232" w:type="dxa"/>
          </w:tcPr>
          <w:p w14:paraId="07533A80" w14:textId="77777777" w:rsidR="00D67E55" w:rsidRDefault="00F266ED">
            <w:pPr>
              <w:jc w:val="left"/>
            </w:pPr>
            <w:r>
              <w:rPr>
                <w:sz w:val="16"/>
              </w:rPr>
              <w:t>Das in den VAE ansässige Unternehmen wurde 2024 als Element der internationalen / IP-Architektur gegründet.</w:t>
            </w:r>
          </w:p>
        </w:tc>
      </w:tr>
      <w:tr w:rsidR="00D67E55" w14:paraId="68DCD6C3" w14:textId="77777777">
        <w:trPr>
          <w:cantSplit/>
          <w:jc w:val="center"/>
        </w:trPr>
        <w:tc>
          <w:tcPr>
            <w:tcW w:w="3232" w:type="dxa"/>
          </w:tcPr>
          <w:p w14:paraId="28DBF50E" w14:textId="77777777" w:rsidR="00D67E55" w:rsidRDefault="00F266ED">
            <w:pPr>
              <w:jc w:val="left"/>
            </w:pPr>
            <w:r>
              <w:rPr>
                <w:sz w:val="16"/>
              </w:rPr>
              <w:t>Infamed K LLC</w:t>
            </w:r>
          </w:p>
        </w:tc>
        <w:tc>
          <w:tcPr>
            <w:tcW w:w="3232" w:type="dxa"/>
          </w:tcPr>
          <w:p w14:paraId="1954E4DE" w14:textId="77777777" w:rsidR="00D67E55" w:rsidRDefault="00F266ED">
            <w:pPr>
              <w:jc w:val="left"/>
            </w:pPr>
            <w:r>
              <w:rPr>
                <w:sz w:val="16"/>
              </w:rPr>
              <w:t>Wichtiges russisches Produktionsvermögen; verkauft im Jahr 2025</w:t>
            </w:r>
          </w:p>
        </w:tc>
      </w:tr>
      <w:tr w:rsidR="00D67E55" w14:paraId="74AAB517" w14:textId="77777777">
        <w:trPr>
          <w:cantSplit/>
          <w:jc w:val="center"/>
        </w:trPr>
        <w:tc>
          <w:tcPr>
            <w:tcW w:w="3232" w:type="dxa"/>
          </w:tcPr>
          <w:p w14:paraId="7B27E6EE" w14:textId="77777777" w:rsidR="00D67E55" w:rsidRDefault="00F266ED">
            <w:pPr>
              <w:jc w:val="left"/>
            </w:pPr>
            <w:r>
              <w:rPr>
                <w:sz w:val="16"/>
              </w:rPr>
              <w:t>NSP</w:t>
            </w:r>
          </w:p>
        </w:tc>
        <w:tc>
          <w:tcPr>
            <w:tcW w:w="3232" w:type="dxa"/>
          </w:tcPr>
          <w:p w14:paraId="44D32E79" w14:textId="77777777" w:rsidR="00D67E55" w:rsidRDefault="00F266ED">
            <w:pPr>
              <w:jc w:val="left"/>
            </w:pPr>
            <w:r>
              <w:rPr>
                <w:sz w:val="16"/>
              </w:rPr>
              <w:t>Externe Rechtsberater, die Evgeny Gorokhov und M&amp;A-Contour in 2024-2025 begleitet haben.</w:t>
            </w:r>
          </w:p>
        </w:tc>
      </w:tr>
    </w:tbl>
    <w:p w14:paraId="53F22B17" w14:textId="77777777" w:rsidR="00D67E55" w:rsidRDefault="00F266ED">
      <w:pPr>
        <w:pStyle w:val="1"/>
        <w:pageBreakBefore/>
        <w:spacing w:before="900" w:after="480"/>
        <w:jc w:val="center"/>
      </w:pPr>
      <w:r>
        <w:rPr>
          <w:rFonts w:ascii="Arial" w:hAnsi="Arial"/>
          <w:sz w:val="20"/>
        </w:rPr>
        <w:lastRenderedPageBreak/>
        <w:t>Teil II. Bevor alles zum Geschäft wurde</w:t>
      </w:r>
    </w:p>
    <w:p w14:paraId="0C6BF563" w14:textId="77777777" w:rsidR="00D67E55" w:rsidRDefault="00F266ED">
      <w:pPr>
        <w:pStyle w:val="21"/>
        <w:pageBreakBefore/>
      </w:pPr>
      <w:r>
        <w:rPr>
          <w:rFonts w:ascii="Arial" w:hAnsi="Arial"/>
          <w:sz w:val="20"/>
        </w:rPr>
        <w:lastRenderedPageBreak/>
        <w:t>10. Weshalb ich dies schreibe</w:t>
      </w:r>
    </w:p>
    <w:p w14:paraId="24B19D40" w14:textId="77777777" w:rsidR="00D67E55" w:rsidRDefault="00F266ED">
      <w:pPr>
        <w:pStyle w:val="NoIndent"/>
        <w:rPr>
          <w:rFonts w:hint="eastAsia"/>
        </w:rPr>
      </w:pPr>
      <w:r>
        <w:rPr>
          <w:rFonts w:ascii="Arial" w:hAnsi="Arial"/>
          <w:sz w:val="20"/>
        </w:rPr>
        <w:t>Ich fing also an, diese Geschichte als Verteidigung zu sammeln, und sie begann mit Daten, Briefen, Verträgen und Nachnamen, und es schien, dass, wenn man jedes Ereignis auf eine Stunde zurückverfolgen würde, alles zusammenpassen würde: Man konnte sehen, wer was zu wem sagte, wer das Dokument unterschrieb, wer ihre Position änderte und wann genau der Familienstreit in einen Rechtskrieg verwandelt wurde, aber je tiefer ich in das Archiv ging, desto klarer sah ich, dass Gerichtschronologie und Menschheitsgeschichte nicht dasselbe waren.</w:t>
      </w:r>
    </w:p>
    <w:p w14:paraId="4CEA6243" w14:textId="77777777" w:rsidR="00D67E55" w:rsidRDefault="00F266ED">
      <w:r>
        <w:t>Das Gericht braucht eine Antwort auf eine spezifische Frage: Gab es Autorität? Gab es Genehmigung? Wer besaß das Gut zu einem bestimmten Zeitpunkt? Diese Fragen sind auch für die Nachwelt wichtig, aber es ist wichtiger für sie zu verstehen, wie wir in einer Welt landen, in der Verwandte alte Nachrichten durch Anwälte lesen und bekannte Wörter - "Familie", "Vertrauen", "unser Geschäft" - plötzlich eine rechtliche Definition erfordern.</w:t>
      </w:r>
    </w:p>
    <w:p w14:paraId="56C87F27" w14:textId="77777777" w:rsidR="00D67E55" w:rsidRDefault="00F266ED">
      <w:r>
        <w:t>Ich schreibe keine Anklage. Ich möchte meinen Kindern und Enkeln keine Liste von Feinden hinterlassen. Ich möchte ihnen das Gerät des Irrtums hinterlassen. Große Familienkonflikte beginnen selten mit einer Bosheit. Meistens lebt das System jahrelang vom Vertrauen, verteilt Macht informell, gewöhnt sich an das, was die Leute "verstehen" und steht dann vor einer Situation, für die es keine Regeln hat.</w:t>
      </w:r>
    </w:p>
    <w:p w14:paraId="64C2DAB3" w14:textId="77777777" w:rsidR="00D67E55" w:rsidRDefault="00F266ED">
      <w:r>
        <w:t>In diesem Buch werde ich in der ersten Person sprechen und ehrlich trennen, was ich sah von dem, was ich später aus Dokumenten lernte oder von anderen hörte. Einige meiner Verdachtsmomente werden Verdachtsmomente bleiben, bis unabhängige Beweise gefunden werden. Einige der Handlungen, von denen ich dachte, dass sie im Jahr 2024 offensichtlich waren, sehen zwei Jahre später anders aus. Das ist in Ordnung. Das Gedächtnis sollte sich mit einem Dokument korrigieren können.</w:t>
      </w:r>
    </w:p>
    <w:p w14:paraId="224CF592" w14:textId="77777777" w:rsidR="00D67E55" w:rsidRDefault="00F266ED">
      <w:pPr>
        <w:spacing w:after="0" w:line="228" w:lineRule="auto"/>
      </w:pPr>
      <w:r>
        <w:t>Es ist wichtig für mich, nicht jeden Schritt meines Handelns zu rechtfertigen. Ich war involviert, habe Entscheidungen getroffen und lag falsch. Aber Beteiligung, Initiative, Macht, Entscheidungsfindung und letztendlicher Nutzen sind unterschiedliche Dinge. Das Missverständnis dieses Unterschieds ist zu einem der zentralen Themen der Geschichte geworden. Wenn das Buch ein Ziel hat, ist es einfach: zu zeigen, wie man eine Familie in der Nähe eines großen Unternehmens und der Menschenwürde hält, wenn das Geschäft gescheitert ist.</w:t>
      </w:r>
    </w:p>
    <w:p w14:paraId="7D75B522" w14:textId="77777777" w:rsidR="00D67E55" w:rsidRDefault="00F266ED">
      <w:pPr>
        <w:pStyle w:val="21"/>
        <w:pageBreakBefore/>
        <w:spacing w:before="0" w:after="0"/>
      </w:pPr>
      <w:r>
        <w:rPr>
          <w:rFonts w:ascii="Arial" w:hAnsi="Arial"/>
          <w:sz w:val="20"/>
        </w:rPr>
        <w:lastRenderedPageBreak/>
        <w:t>11. Miramistin als Familiensystem</w:t>
      </w:r>
    </w:p>
    <w:p w14:paraId="27B2C40D" w14:textId="77777777" w:rsidR="00D67E55" w:rsidRDefault="00F266ED">
      <w:pPr>
        <w:pStyle w:val="NoIndent"/>
        <w:spacing w:line="240" w:lineRule="auto" w:before="0" w:after="0"/>
        <w:rPr>
          <w:rFonts w:hint="eastAsia"/>
        </w:rPr>
      </w:pPr>
      <w:r>
        <w:rPr>
          <w:rFonts w:ascii="Arial" w:hAnsi="Arial"/>
          <w:sz w:val="20"/>
        </w:rPr>
        <w:t>Miramistin war mehr als eine Droge für uns und entwickelte allmählich ein System um es herum: Herstellung, Registrierung, Marketing, internationale Marken, Vertragsstandorte, Lagerhäuser, juristische Personen in Russland und Österreich, Mitarbeiter, Berater, Ärzte, Händler, und dieses System sah aus wie ein einziger Organismus, obwohl es nie rechtlich einheitlich war.</w:t>
      </w:r>
    </w:p>
    <w:p w14:paraId="1017F361" w14:textId="77777777" w:rsidR="00D67E55" w:rsidRDefault="00F266ED">
      <w:pPr>
        <w:spacing w:line="240" w:lineRule="auto" w:before="0" w:after="0"/>
      </w:pPr>
      <w:r>
        <w:t>In Russland gab es Infamed K, Infamed, I-Pharm, Baltpharmaceutics, Aruna und andere Unternehmen, jedes mit seiner eigenen Funktion und seinem eigenen Eigentum. In Österreich besaß die Megainpharm GmbH eine beträchtliche Menge an geistigem Eigentum. Die Produktion war an einem Ort, die Rechte an einem anderen, die Registrierungszertifikate an einem dritten. Wirtschaftlich gesehen sagten wir "Gruppe". Rechtlich gesehen war es ein Netzwerk unabhängiger Einheiten.</w:t>
      </w:r>
    </w:p>
    <w:p w14:paraId="01E07CC0" w14:textId="77777777" w:rsidR="00D67E55" w:rsidRDefault="00F266ED">
      <w:pPr>
        <w:spacing w:line="240" w:lineRule="auto" w:before="0" w:after="0"/>
      </w:pPr>
      <w:r>
        <w:t>Solange Beziehungen funktionieren, ist der Unterschied fast unmerklich: Sie können anrufen, verhandeln, um einen Brief bitten, einen Generalbuchhalter oder einen Anwalt bitten, um das Problem zu lösen, das System basiert auf persönlichem Vertrauen und einem gemeinsamen Zielbewusstsein, und in guten Jahren scheint dieses Modell sogar schneller zu sein als die formelle Corporate Governance.</w:t>
      </w:r>
    </w:p>
    <w:p w14:paraId="1C1E812F" w14:textId="77777777" w:rsidR="00D67E55" w:rsidRDefault="00F266ED">
      <w:pPr>
        <w:spacing w:line="240" w:lineRule="auto" w:before="0" w:after="0"/>
      </w:pPr>
      <w:r>
        <w:t>Die Krise hat die entgegengesetzte Seite gezeigt: Zum Zeitpunkt des Streits hört der Satz "das ist unsere gemeinsame Sache" auf, die Frage zu beantworten, wer das Recht hat, über eine bestimmte Marke zu verfügen; der Satz "jeder stimmte zu" ersetzt nicht das Protokoll der Sitzung; der Begriff "Familienanteil" stimmt nicht mit dem Register der Teilnehmer eines bestimmten Unternehmens überein; historische Autorität entspricht nicht den Befugnissen des Direktors; finanzieller Einfluss kann ohne eine offizielle Position bestehen.</w:t>
      </w:r>
    </w:p>
    <w:p w14:paraId="594E9ABA" w14:textId="77777777" w:rsidR="00D67E55" w:rsidRDefault="00F266ED">
      <w:pPr>
        <w:spacing w:line="240" w:lineRule="auto" w:before="0" w:after="0"/>
      </w:pPr>
      <w:r>
        <w:t>Ich erkannte das zu spät. Wir führten das komplexe internationale Pharmageschäft auf die gleiche Weise wie ein erweitertes System persönlicher Beziehungen. Ich sage nicht, dass wir keine Dokumente hatten. Es gab viele davon. Aber Dokumente dienten oft einer Entscheidung, die die Leute bereits getroffen hatten, anstatt ein transparentes Verfahren zu schaffen.</w:t>
      </w:r>
    </w:p>
    <w:p w14:paraId="3792BA52" w14:textId="77777777" w:rsidR="00D67E55" w:rsidRDefault="00F266ED">
      <w:pPr>
        <w:spacing w:line="240" w:lineRule="auto" w:before="0" w:after="0"/>
      </w:pPr>
      <w:r>
        <w:lastRenderedPageBreak/>
        <w:t>Für die Nachwelt ist die erste Lektion, dass, je teurer ein Familienvermögen wird, desto weniger sollte es von der Familienintuition abhängen. Je höher das Vertrauen, desto einfacher ist es, eine gute Aktionärsvereinbarung zu unterzeichnen. Formalisierung zerstört das Vertrauen nicht. Es bewahrt es für den Tag, an dem Menschen müde, verärgert, ängstlich sind oder einfach nur die Zukunft anders sehen.</w:t>
      </w:r>
    </w:p>
    <w:p w14:paraId="1302B315" w14:textId="77777777" w:rsidR="00D67E55" w:rsidRDefault="00F266ED">
      <w:pPr>
        <w:pStyle w:val="21"/>
        <w:pageBreakBefore/>
      </w:pPr>
      <w:r>
        <w:rPr>
          <w:rFonts w:ascii="Arial" w:hAnsi="Arial"/>
          <w:sz w:val="20"/>
        </w:rPr>
        <w:lastRenderedPageBreak/>
        <w:t>12. Meine Rolle und meine Verletzlichkeit</w:t>
      </w:r>
    </w:p>
    <w:p w14:paraId="699CF78E" w14:textId="77777777" w:rsidR="00D67E55" w:rsidRDefault="00F266ED">
      <w:pPr>
        <w:pStyle w:val="NoIndent"/>
        <w:rPr>
          <w:rFonts w:hint="eastAsia"/>
        </w:rPr>
      </w:pPr>
      <w:r>
        <w:rPr>
          <w:rFonts w:ascii="Arial" w:hAnsi="Arial"/>
          <w:sz w:val="20"/>
        </w:rPr>
        <w:t>Ich arbeitete stets sehr praxisnah. Vor meiner Ernennung zum CEO vertrat ich die Gesellschafterinteressen in Fragen der Rechtsabteilung, der IT, der Sicherheit, der Produktion, der Beziehungen zu Behörden in der Region Kaliningrad sowie bei Drittprojekten. Zahlreiche Informationen liefen bei mir zusammen: internationale Aktivitäten, geistiges Eigentum, Verhandlungen, externe Berater, Bankangelegenheiten und Entwicklungsprojekte. Vom 1. Juli 2023 bis zum 4. November 2024 war ich CEO der gesamten Infamed-Gruppe. Seit 2013 leitete ich außerdem Megainpharm in Österreich, wo internationale Studien zu dem Arzneimittel durchgeführt wurden. Meine tatsächliche Rolle ging über meine Funktionsbezeichnung hinaus: Ich überführte Familienentscheidungen in Verträge, Vollmachten, Registrierungen und Verhandlungen. Als sich die formale Struktur zu verändern begann, sah ich daher weiterhin keine voneinander getrennten Unterlagen, sondern eine zusammenhängende Geschichte. Ivan Kirichenko hatte eine Doppelrolle: Er hielt 17 % an der Infamed-Gruppe und war zugleich im Unternehmen tätig, wo er den medizinischen Bereich leitete. Nach meinen Informationen sind in der Gesamtübersicht der Beteiligungen auch V. V. Svistov und Khugaeva als Inhaber eines 15-%-Anteils anzuführen. Es handelt sich um einen gemeinsamen Anteil von 15 %, nicht um jeweils 15 %; seine formale Zuordnung und die betroffene juristische Person sind anhand des Registers zu prüfen, ohne den Anteil automatisch MIF zuzurechnen.</w:t>
      </w:r>
      <w:r>
        <w:rPr>
          <w:rFonts w:ascii="Arial" w:hAnsi="Arial"/>
          <w:sz w:val="20"/>
        </w:rPr>
        <w:t/>
      </w:r>
      <w:r>
        <w:rPr>
          <w:rFonts w:ascii="Arial" w:hAnsi="Arial"/>
          <w:sz w:val="20"/>
        </w:rPr>
        <w:t/>
      </w:r>
    </w:p>
    <w:p w14:paraId="45D1F500" w14:textId="77777777" w:rsidR="00D67E55" w:rsidRDefault="00F266ED">
      <w:r>
        <w:t>Und dann verbrachte ich Stunden damit, die Korrespondenz durchzusehen, und ich sah meinen Namen in Hunderten von Ketten, und ich initiierte eine Frage, ich machte einen Auftrag, ich leitete ein Dokument weiter, ich argumentierte mit Anwälten, ich unterschrieb im Namen einer Firma per Proxy, und in einem ruhigen Leben fühlte es sich an wie ein Job, und in einem Konflikt würde jede Datei zu einer separaten Absichtserklärung werden.</w:t>
      </w:r>
    </w:p>
    <w:p w14:paraId="22B0E8DA" w14:textId="77777777" w:rsidR="00D67E55" w:rsidRDefault="00F266ED">
      <w:r>
        <w:t>Der einfachste Weg, sich nach einem Konflikt zu schützen, ist, seine Rolle herunterzuspielen, was ich falsch finde, und ich möchte der Nachwelt nicht sagen, dass ich ein zufälliger Beobachter war, und ich war sehr stark an der Schaffung der internationalen Geschäftsarchitektur und der Umstrukturierung des geistigen Eigentums beteiligt, und ich dachte, das sei für die Gruppe nützlich, und ich handelte nach dem Verständnis des Mandats, das ich damals hatte.</w:t>
      </w:r>
      <w:r>
        <w:lastRenderedPageBreak/>
        <w:t/>
      </w:r>
    </w:p>
    <w:p w14:paraId="77E1C397" w14:textId="77777777" w:rsidR="00D67E55" w:rsidRDefault="00F266ED">
      <w:r>
        <w:t>Aber im Laufe der Jahre habe ich gelernt, drei Dinge zu unterscheiden: erstens die Vollzugsbehörde: das Recht, auszuführen und zu unterschreiben; zweitens die Entscheidungsbehörde: das Recht, zu bestimmen, was mit einem Vermögenswert zu tun ist; drittens die Zustimmung des Unternehmens: die formelle Entscheidung eines Gremiums einer bestimmten juristischen Person; in einem Familienunternehmen verschmelzen diese drei Ebenen oft zu einer: "Wir haben entschieden." Vor Gericht gehen sie auseinander.</w:t>
      </w:r>
    </w:p>
    <w:p w14:paraId="2B19743D" w14:textId="77777777" w:rsidR="00D67E55" w:rsidRDefault="00F266ED">
      <w:pPr>
        <w:spacing w:after="0" w:line="228" w:lineRule="auto"/>
      </w:pPr>
      <w:r>
        <w:t>Die Unterschrift zeigt den Darsteller. Sie zeigt nicht immer den Urheber einer wirtschaftlichen Entscheidung. Die Vollmacht gibt die Befugnis an, im Namen des Unternehmens zu handeln, beantwortet aber nicht immer die Frage, wer eine große oder ungewöhnliche Transaktion genehmigt hat. Die Zustimmung von Personen, die die wirtschaftliche Mehrheit einer Gruppe repräsentieren, kann für das Verständnis des Kontextes von großer Bedeutung sein, ersetzt aber nicht automatisch die Entscheidung der österreichischen Gesellschaft. Heute würde ich eine schriftliche Aufzeichnung nicht nur meiner Aktion, sondern auch der Entscheidung verlangen, die ihr vorausging.</w:t>
      </w:r>
      <w:r>
        <w:t/>
      </w:r>
    </w:p>
    <w:p w14:paraId="0A8D0FB8" w14:textId="77777777" w:rsidR="00D67E55" w:rsidRDefault="00F266ED">
      <w:pPr>
        <w:pStyle w:val="21"/>
        <w:pageBreakBefore/>
      </w:pPr>
      <w:r>
        <w:rPr>
          <w:rFonts w:ascii="Arial" w:hAnsi="Arial"/>
          <w:sz w:val="20"/>
        </w:rPr>
        <w:lastRenderedPageBreak/>
        <w:t>12A. Team und Ergebnisse: 2023-2024</w:t>
      </w:r>
    </w:p>
    <w:p w14:paraId="60A0CB3A" w14:textId="77777777" w:rsidR="00D67E55" w:rsidRDefault="00F266ED">
      <w:pPr>
        <w:pStyle w:val="NoIndent"/>
        <w:rPr>
          <w:rFonts w:hint="eastAsia"/>
        </w:rPr>
      </w:pPr>
      <w:r>
        <w:rPr>
          <w:rFonts w:ascii="Arial" w:hAnsi="Arial"/>
          <w:sz w:val="20"/>
        </w:rPr>
        <w:t>Ich habe die gesamte Infamed-Gruppe vom 1. Juli 2023 bis zum 4. November 2024 geleitet, daher ist es wichtig, nicht nur die Beschreibung des Konflikts, sondern auch die Ergebnisse des Teams, das unter meiner Führung arbeitete, zu bewahren.</w:t>
      </w:r>
    </w:p>
    <w:p w14:paraId="13A1518E" w14:textId="77777777" w:rsidR="00D67E55" w:rsidRDefault="00F266ED">
      <w:r>
        <w:t>Es ist der Input von Menschen in der Fertigung, Finanzen, Logistik und anderen Dienstleistungen, und meine Rolle als Führungskraft negiert nicht ihre unabhängige Arbeit und Verantwortung für das Gesamtergebnis. Alle von den Aktionären festgelegten Mindestkennzahlen wurden erfüllt, und ich habe bereits die härteren Anforderungen an das Team gestellt.</w:t>
      </w:r>
      <w:r>
        <w:lastRenderedPageBreak/>
        <w:t/>
      </w:r>
    </w:p>
    <w:p w14:paraId="2EC27420" w14:textId="77777777" w:rsidR="00D67E55" w:rsidRDefault="00F266ED">
      <w:pPr>
        <w:pStyle w:val="SmallNote"/>
        <w:rPr>
          <w:rFonts w:hint="eastAsia"/>
        </w:rPr>
      </w:pPr>
      <w:r>
        <w:rPr>
          <w:rFonts w:ascii="Arial" w:hAnsi="Arial"/>
          <w:sz w:val="20"/>
        </w:rPr>
        <w:t>Periodengrenzen: In den Zahlen für die Gesamtjahre 2023 und 2024 sind auch die Monate vor meiner Ernennung und nach dem Ende der Führung enthalten, sie beschreiben die Arbeit der Gruppe für das Jahr und werden nicht ausschließlich einem Führer zugeschrieben.</w:t>
      </w:r>
    </w:p>
    <w:p w14:paraId="74EDCAA9" w14:textId="77777777" w:rsidR="00D67E55" w:rsidRDefault="00F266ED">
      <w:pPr>
        <w:pStyle w:val="31"/>
      </w:pPr>
      <w:r>
        <w:rPr>
          <w:rFonts w:ascii="Arial" w:hAnsi="Arial"/>
          <w:sz w:val="20"/>
        </w:rPr>
        <w:t>2023. Liquidität und Steuerung der Vertriebskanäle</w:t>
      </w:r>
    </w:p>
    <w:p w14:paraId="6184A9D5" w14:textId="77777777" w:rsidR="00D67E55" w:rsidRDefault="00F266ED">
      <w:r>
        <w:t>In der zweiten Hälfte des Jahres 2023 befasste sich das Team unter meiner Führung mit Liquiditäts- und Kanalproblemen, und im Oktober wurde die Entscheidung, Produkte an einen Händler auf einer reduzierten Vorauszahlungsbasis zu verkaufen, umgesetzt, die laut Jahresbericht mehr als 1,2 Millionen Einheiten mit einer Resthaltbarkeit von etwa 50% verkaufte, die Liquidität erhöhte und die Verkaufspreise nicht erhöhte.</w:t>
      </w:r>
      <w:r>
        <w:lastRenderedPageBreak/>
        <w:t/>
      </w:r>
    </w:p>
    <w:p w14:paraId="397434B5" w14:textId="77777777" w:rsidR="00D67E55" w:rsidRDefault="00F266ED">
      <w:r>
        <w:lastRenderedPageBreak/>
        <w:t>Im vierten Quartal wurde eine Radiowerbekampagne gestartet, und es wurden proaktive Anstrengungen unternommen, um transparente Verträge mit Apothekenketten zu sichern, und der Bericht wies auf die Erholung der MNN-Gruppe im Segment Gorlo von 79,52 % im September auf 82,86 % bis Ende des Jahres hin.</w:t>
      </w:r>
      <w:r>
        <w:lastRenderedPageBreak/>
        <w:t/>
      </w:r>
    </w:p>
    <w:p w14:paraId="3A16E5E9" w14:textId="77777777" w:rsidR="00D67E55" w:rsidRDefault="00F266ED">
      <w:r>
        <w:t>Der erste Gesamtjahresbericht für 2023 verzeichnete einen Anstieg der Mehrwertsteuereinnahmen um 10,19% und einen Anstieg der Lieferungen an Händler um 10,32% im Vergleich zu 2022, während der Umsatz von Miramistin und Okomistin an den Endkäufer insgesamt um 11,01 Prozent zurückging, wobei das Versandwachstum nicht den gleichen Anstieg des Verbrauchs bedeutete.</w:t>
      </w:r>
      <w:r>
        <w:lastRenderedPageBreak/>
        <w:t/>
      </w:r>
    </w:p>
    <w:p w14:paraId="1B7EF38A" w14:textId="77777777" w:rsidR="00D67E55" w:rsidRDefault="00F266ED">
      <w:pPr>
        <w:pStyle w:val="SmallNote"/>
        <w:rPr>
          <w:rFonts w:hint="eastAsia"/>
        </w:rPr>
      </w:pPr>
      <w:r>
        <w:rPr>
          <w:rFonts w:ascii="Arial" w:hAnsi="Arial"/>
          <w:sz w:val="20"/>
        </w:rPr>
        <w:t>Quelle: Infamed Report to Shareholders 2023-12, Jahreszahlen und Kommentare zu den Ergebnissen.</w:t>
      </w:r>
    </w:p>
    <w:p w14:paraId="7051AB14" w14:textId="77777777" w:rsidR="00D67E55" w:rsidRDefault="00F266ED">
      <w:pPr>
        <w:pStyle w:val="31"/>
      </w:pPr>
      <w:r>
        <w:rPr>
          <w:rFonts w:ascii="Arial" w:hAnsi="Arial"/>
          <w:sz w:val="20"/>
        </w:rPr>
        <w:t>2024. Wiederherstellung der Produktion und Budgetsteuerung</w:t>
      </w:r>
    </w:p>
    <w:p w14:paraId="081D1614" w14:textId="77777777" w:rsidR="00D67E55" w:rsidRDefault="00F266ED">
      <w:r>
        <w:t>Im Jahr 2024 fuhr ich fort, die Gruppe bis zum 4. November zu führen, und der Bericht vom 11. Oktober stellte fest, dass nach der Ausfallzeit von 2023 die Anlage im Jahr 2024 voll funktionsfähig war, und im Jänner-September produzierte Infamed K 11,715 Millionen Einheiten gegenüber 5,061 Millionen im gleichen Zeitraum von 2023, eine Steigerung von 131,49 Prozent und die Produktion von Arun-Fläschchen für neun Monate 11,676 Millionen Einheiten, ein Plus von 59,26 Prozent im Jahr zuvor.</w:t>
      </w:r>
      <w:r>
        <w:lastRenderedPageBreak/>
        <w:t/>
      </w:r>
    </w:p>
    <w:p w14:paraId="5EE4C1D3" w14:textId="77777777" w:rsidR="00D67E55" w:rsidRDefault="00F266ED">
      <w:r>
        <w:t>Das Team passte die Kosten für Werbung, Promotion und Arbeit mit Apothekenketten mit hinter Budgeteinnahmen an.Nach vorläufigen Schätzungen für neun Monate lagen die Kosten für Geschäfte um mehr als 200 Millionen Rubel unter dem Plan.</w:t>
      </w:r>
      <w:r>
        <w:lastRenderedPageBreak/>
        <w:t/>
      </w:r>
    </w:p>
    <w:p w14:paraId="08EC9D36" w14:textId="77777777" w:rsidR="00D67E55" w:rsidRDefault="00F266ED">
      <w:r>
        <w:t>Zum 11. Oktober 2024 betrugen die vorläufigen Mehrwertsteuereinnahmen für Jänner-September 3,656 Milliarden Rubel (+13,20% gegenüber dem gleichen Zeitraum im Jahr 2023); Lieferungen - 9,932 Millionen Einheiten (+12,81%). OIBDA wurde auf 1,362 Milliarden Rubel geschätzt: 0,60% unter dem Plan und 9,36% unter dem Vorjahr.</w:t>
      </w:r>
      <w:r>
        <w:lastRenderedPageBreak/>
        <w:t/>
      </w:r>
    </w:p>
    <w:p w14:paraId="7857E71F" w14:textId="77777777" w:rsidR="00D67E55" w:rsidRDefault="00F266ED">
      <w:pPr>
        <w:pStyle w:val="SmallNote"/>
        <w:rPr>
          <w:rFonts w:hint="eastAsia"/>
        </w:rPr>
      </w:pPr>
      <w:r>
        <w:rPr>
          <w:rFonts w:ascii="Arial" w:hAnsi="Arial"/>
          <w:sz w:val="20"/>
        </w:rPr>
        <w:t>Quelle: Bericht von Evgeny Gorokhov vom 11.10.2024 (Bericht an die Aktionäre 2024-08): acht Monate tatsächliche Daten, vorläufige Finanzergebnisse und neun Monate Produktionstabellen.</w:t>
      </w:r>
    </w:p>
    <w:p w14:paraId="5F4A8D8A" w14:textId="77777777" w:rsidR="00D67E55" w:rsidRDefault="00F266ED">
      <w:pPr>
        <w:pStyle w:val="31"/>
      </w:pPr>
      <w:r>
        <w:rPr>
          <w:rFonts w:ascii="Arial" w:hAnsi="Arial"/>
          <w:sz w:val="20"/>
        </w:rPr>
        <w:t>Zwei Jahre in Zahlen</w:t>
      </w:r>
    </w:p>
    <w:p w14:paraId="4A24DBF2" w14:textId="77777777" w:rsidR="00D67E55" w:rsidRDefault="00F266ED">
      <w:r>
        <w:t>Für einen jährlichen Kontext vergleiche ich volle Kalenderjahre aus einer einzelnen Version des Managementberichts für 12 Monate von 2024. Dies ist keine persönliche Zuordnung der Ergebnisse: Beide Jahre sind breiter als die Zeit meiner Führung. Das Produktionswachstum im Jahr 2024 steht im Vergleich zu einer niedrigen Basis im Jahr 2023, als das Werk im Leerlauf war.</w:t>
      </w:r>
      <w:r>
        <w:lastRenderedPageBreak/>
        <w:t/>
      </w:r>
    </w:p>
    <w:tbl>
      <w:tblPr>
        <w:tblW w:w="6293" w:type="dxa"/>
        <w:jc w:val="center"/>
        <w:tblBorders>
          <w:top w:val="single" w:sz="4" w:space="0" w:color="C8C6BE"/>
          <w:bottom w:val="single" w:sz="4" w:space="0" w:color="C8C6BE"/>
          <w:insideH w:val="single" w:sz="4" w:space="0" w:color="C8C6BE"/>
        </w:tblBorders>
        <w:tblLayout w:type="fixed"/>
        <w:tblCellMar>
          <w:top w:w="80" w:type="dxa"/>
          <w:left w:w="100" w:type="dxa"/>
          <w:bottom w:w="80" w:type="dxa"/>
          <w:right w:w="100" w:type="dxa"/>
        </w:tblCellMar>
        <w:tblLook w:val="04A0" w:firstRow="1" w:lastRow="0" w:firstColumn="1" w:lastColumn="0" w:noHBand="0" w:noVBand="1"/>
        <w:tblCaption w:val="Годовые результаты ГК «Инфамед»: 2023 и 2024"/>
      </w:tblPr>
      <w:tblGrid>
        <w:gridCol w:w="2600"/>
        <w:gridCol w:w="1040"/>
        <w:gridCol w:w="1040"/>
        <w:gridCol w:w="1613"/>
      </w:tblGrid>
      <w:tr w:rsidR="00D67E55" w14:paraId="34980624" w14:textId="77777777">
        <w:trPr>
          <w:cantSplit/>
          <w:tblHeader/>
          <w:jc w:val="center"/>
        </w:trPr>
        <w:tc>
          <w:tcPr>
            <w:tcW w:w="2600" w:type="dxa"/>
            <w:shd w:val="clear" w:color="auto" w:fill="E8E6DF"/>
            <w:vAlign w:val="center"/>
          </w:tcPr>
          <w:p w14:paraId="0316B393" w14:textId="77777777" w:rsidR="00D67E55" w:rsidRDefault="00F266ED">
            <w:pPr>
              <w:pStyle w:val="NoIndent"/>
              <w:keepNext/>
              <w:spacing w:after="0" w:line="240" w:lineRule="auto"/>
              <w:jc w:val="left"/>
              <w:rPr>
                <w:rFonts w:hint="eastAsia"/>
              </w:rPr>
            </w:pPr>
            <w:r>
              <w:rPr>
                <w:rFonts w:ascii="Arial" w:hAnsi="Arial"/>
                <w:b/>
                <w:sz w:val="18"/>
              </w:rPr>
              <w:t>Indikator</w:t>
            </w:r>
          </w:p>
        </w:tc>
        <w:tc>
          <w:tcPr>
            <w:tcW w:w="1040" w:type="dxa"/>
            <w:shd w:val="clear" w:color="auto" w:fill="E8E6DF"/>
            <w:vAlign w:val="center"/>
          </w:tcPr>
          <w:p w14:paraId="18F3CE05" w14:textId="77777777" w:rsidR="00D67E55" w:rsidRDefault="00F266ED">
            <w:pPr>
              <w:pStyle w:val="NoIndent"/>
              <w:keepNext/>
              <w:spacing w:after="0" w:line="240" w:lineRule="auto"/>
              <w:jc w:val="right"/>
              <w:rPr>
                <w:rFonts w:hint="eastAsia"/>
              </w:rPr>
            </w:pPr>
            <w:r>
              <w:rPr>
                <w:rFonts w:ascii="Arial" w:hAnsi="Arial"/>
                <w:b/>
                <w:sz w:val="18"/>
              </w:rPr>
              <w:t>2023</w:t>
            </w:r>
          </w:p>
        </w:tc>
        <w:tc>
          <w:tcPr>
            <w:tcW w:w="1040" w:type="dxa"/>
            <w:shd w:val="clear" w:color="auto" w:fill="E8E6DF"/>
            <w:vAlign w:val="center"/>
          </w:tcPr>
          <w:p w14:paraId="5C335176" w14:textId="77777777" w:rsidR="00D67E55" w:rsidRDefault="00F266ED">
            <w:pPr>
              <w:pStyle w:val="NoIndent"/>
              <w:keepNext/>
              <w:spacing w:after="0" w:line="240" w:lineRule="auto"/>
              <w:jc w:val="right"/>
              <w:rPr>
                <w:rFonts w:hint="eastAsia"/>
              </w:rPr>
            </w:pPr>
            <w:r>
              <w:rPr>
                <w:rFonts w:ascii="Arial" w:hAnsi="Arial"/>
                <w:b/>
                <w:sz w:val="18"/>
              </w:rPr>
              <w:t>2024</w:t>
            </w:r>
          </w:p>
        </w:tc>
        <w:tc>
          <w:tcPr>
            <w:tcW w:w="1613" w:type="dxa"/>
            <w:shd w:val="clear" w:color="auto" w:fill="E8E6DF"/>
            <w:vAlign w:val="center"/>
          </w:tcPr>
          <w:p w14:paraId="37C8FCD3" w14:textId="77777777" w:rsidR="00D67E55" w:rsidRDefault="00F266ED">
            <w:pPr>
              <w:pStyle w:val="NoIndent"/>
              <w:keepNext/>
              <w:spacing w:after="0" w:line="240" w:lineRule="auto"/>
              <w:jc w:val="right"/>
              <w:rPr>
                <w:rFonts w:hint="eastAsia"/>
              </w:rPr>
            </w:pPr>
            <w:r>
              <w:rPr>
                <w:rFonts w:ascii="Arial" w:hAnsi="Arial"/>
                <w:b/>
                <w:sz w:val="18"/>
              </w:rPr>
              <w:t>Änderung</w:t>
            </w:r>
          </w:p>
        </w:tc>
      </w:tr>
      <w:tr w:rsidR="00D67E55" w14:paraId="75D26598" w14:textId="77777777">
        <w:trPr>
          <w:cantSplit/>
          <w:jc w:val="center"/>
        </w:trPr>
        <w:tc>
          <w:tcPr>
            <w:tcW w:w="2600" w:type="dxa"/>
            <w:vAlign w:val="center"/>
          </w:tcPr>
          <w:p w14:paraId="4730649A" w14:textId="77777777" w:rsidR="00D67E55" w:rsidRDefault="00F266ED">
            <w:pPr>
              <w:pStyle w:val="NoIndent"/>
              <w:spacing w:after="0" w:line="240" w:lineRule="auto"/>
              <w:jc w:val="left"/>
              <w:rPr>
                <w:rFonts w:hint="eastAsia"/>
              </w:rPr>
            </w:pPr>
            <w:r>
              <w:rPr>
                <w:rFonts w:ascii="Arial" w:hAnsi="Arial"/>
                <w:sz w:val="18"/>
              </w:rPr>
              <w:t>Umsatz einschließlich USt., Mrd. RUB</w:t>
            </w:r>
            <w:r>
              <w:rPr>
                <w:rFonts w:ascii="Arial" w:hAnsi="Arial"/>
                <w:sz w:val="16"/>
              </w:rPr>
              <w:br/>
              <w:t/>
            </w:r>
          </w:p>
        </w:tc>
        <w:tc>
          <w:tcPr>
            <w:tcW w:w="1040" w:type="dxa"/>
            <w:vAlign w:val="center"/>
          </w:tcPr>
          <w:p w14:paraId="26903366" w14:textId="77777777" w:rsidR="00D67E55" w:rsidRDefault="00F266ED">
            <w:pPr>
              <w:pStyle w:val="NoIndent"/>
              <w:spacing w:after="0" w:line="240" w:lineRule="auto"/>
              <w:jc w:val="right"/>
              <w:rPr>
                <w:rFonts w:hint="eastAsia"/>
              </w:rPr>
            </w:pPr>
            <w:r>
              <w:rPr>
                <w:rFonts w:ascii="Arial" w:hAnsi="Arial"/>
                <w:sz w:val="18"/>
              </w:rPr>
              <w:t>5,448</w:t>
            </w:r>
          </w:p>
        </w:tc>
        <w:tc>
          <w:tcPr>
            <w:tcW w:w="1040" w:type="dxa"/>
            <w:vAlign w:val="center"/>
          </w:tcPr>
          <w:p w14:paraId="0510A687" w14:textId="77777777" w:rsidR="00D67E55" w:rsidRDefault="00F266ED">
            <w:pPr>
              <w:pStyle w:val="NoIndent"/>
              <w:spacing w:after="0" w:line="240" w:lineRule="auto"/>
              <w:jc w:val="right"/>
              <w:rPr>
                <w:rFonts w:hint="eastAsia"/>
              </w:rPr>
            </w:pPr>
            <w:r>
              <w:rPr>
                <w:rFonts w:ascii="Arial" w:hAnsi="Arial"/>
                <w:sz w:val="18"/>
              </w:rPr>
              <w:t>6.351</w:t>
            </w:r>
          </w:p>
        </w:tc>
        <w:tc>
          <w:tcPr>
            <w:tcW w:w="1613" w:type="dxa"/>
            <w:vAlign w:val="center"/>
          </w:tcPr>
          <w:p w14:paraId="6AD12DAE" w14:textId="77777777" w:rsidR="00D67E55" w:rsidRDefault="00F266ED">
            <w:pPr>
              <w:pStyle w:val="NoIndent"/>
              <w:spacing w:after="0" w:line="240" w:lineRule="auto"/>
              <w:jc w:val="right"/>
              <w:rPr>
                <w:rFonts w:hint="eastAsia"/>
              </w:rPr>
            </w:pPr>
            <w:r>
              <w:rPr>
                <w:rFonts w:ascii="Arial" w:hAnsi="Arial"/>
                <w:sz w:val="18"/>
              </w:rPr>
              <w:t>+16,58 %</w:t>
            </w:r>
          </w:p>
        </w:tc>
      </w:tr>
      <w:tr w:rsidR="00D67E55" w14:paraId="59CC7298" w14:textId="77777777">
        <w:trPr>
          <w:cantSplit/>
          <w:jc w:val="center"/>
        </w:trPr>
        <w:tc>
          <w:tcPr>
            <w:tcW w:w="2600" w:type="dxa"/>
            <w:vAlign w:val="center"/>
          </w:tcPr>
          <w:p w14:paraId="23905BF3" w14:textId="77777777" w:rsidR="00D67E55" w:rsidRDefault="00F266ED">
            <w:pPr>
              <w:pStyle w:val="NoIndent"/>
              <w:spacing w:after="0" w:line="240" w:lineRule="auto"/>
              <w:jc w:val="left"/>
              <w:rPr>
                <w:rFonts w:hint="eastAsia"/>
              </w:rPr>
            </w:pPr>
            <w:r>
              <w:rPr>
                <w:rFonts w:ascii="Arial" w:hAnsi="Arial"/>
                <w:sz w:val="18"/>
              </w:rPr>
              <w:t>Lieferungen an Vertriebspartner, Mio. Stück</w:t>
            </w:r>
            <w:r>
              <w:rPr>
                <w:rFonts w:ascii="Arial" w:hAnsi="Arial"/>
                <w:sz w:val="16"/>
              </w:rPr>
              <w:br/>
              <w:t/>
            </w:r>
          </w:p>
        </w:tc>
        <w:tc>
          <w:tcPr>
            <w:tcW w:w="1040" w:type="dxa"/>
            <w:vAlign w:val="center"/>
          </w:tcPr>
          <w:p w14:paraId="74244A1F" w14:textId="77777777" w:rsidR="00D67E55" w:rsidRDefault="00F266ED">
            <w:pPr>
              <w:pStyle w:val="NoIndent"/>
              <w:spacing w:after="0" w:line="240" w:lineRule="auto"/>
              <w:jc w:val="right"/>
              <w:rPr>
                <w:rFonts w:hint="eastAsia"/>
              </w:rPr>
            </w:pPr>
            <w:r>
              <w:rPr>
                <w:rFonts w:ascii="Arial" w:hAnsi="Arial"/>
                <w:sz w:val="18"/>
              </w:rPr>
              <w:t>14,655</w:t>
            </w:r>
          </w:p>
        </w:tc>
        <w:tc>
          <w:tcPr>
            <w:tcW w:w="1040" w:type="dxa"/>
            <w:vAlign w:val="center"/>
          </w:tcPr>
          <w:p w14:paraId="2F3C8717" w14:textId="77777777" w:rsidR="00D67E55" w:rsidRDefault="00F266ED">
            <w:pPr>
              <w:pStyle w:val="NoIndent"/>
              <w:spacing w:after="0" w:line="240" w:lineRule="auto"/>
              <w:jc w:val="right"/>
              <w:rPr>
                <w:rFonts w:hint="eastAsia"/>
              </w:rPr>
            </w:pPr>
            <w:r>
              <w:rPr>
                <w:rFonts w:ascii="Arial" w:hAnsi="Arial"/>
                <w:sz w:val="18"/>
              </w:rPr>
              <w:t>16,619</w:t>
            </w:r>
          </w:p>
        </w:tc>
        <w:tc>
          <w:tcPr>
            <w:tcW w:w="1613" w:type="dxa"/>
            <w:vAlign w:val="center"/>
          </w:tcPr>
          <w:p w14:paraId="401752B3" w14:textId="77777777" w:rsidR="00D67E55" w:rsidRDefault="00F266ED">
            <w:pPr>
              <w:pStyle w:val="NoIndent"/>
              <w:spacing w:after="0" w:line="240" w:lineRule="auto"/>
              <w:jc w:val="right"/>
              <w:rPr>
                <w:rFonts w:hint="eastAsia"/>
              </w:rPr>
            </w:pPr>
            <w:r>
              <w:rPr>
                <w:rFonts w:ascii="Arial" w:hAnsi="Arial"/>
                <w:sz w:val="18"/>
              </w:rPr>
              <w:t>+13,40 %</w:t>
            </w:r>
          </w:p>
        </w:tc>
      </w:tr>
      <w:tr w:rsidR="00D67E55" w14:paraId="31102303" w14:textId="77777777">
        <w:trPr>
          <w:cantSplit/>
          <w:jc w:val="center"/>
        </w:trPr>
        <w:tc>
          <w:tcPr>
            <w:tcW w:w="2600" w:type="dxa"/>
            <w:vAlign w:val="center"/>
          </w:tcPr>
          <w:p w14:paraId="13551BB2" w14:textId="77777777" w:rsidR="00D67E55" w:rsidRDefault="00F266ED">
            <w:pPr>
              <w:pStyle w:val="NoIndent"/>
              <w:spacing w:after="0" w:line="240" w:lineRule="auto"/>
              <w:jc w:val="left"/>
              <w:rPr>
                <w:rFonts w:hint="eastAsia"/>
              </w:rPr>
            </w:pPr>
            <w:r>
              <w:rPr>
                <w:rFonts w:ascii="Arial" w:hAnsi="Arial"/>
                <w:sz w:val="18"/>
              </w:rPr>
              <w:t>Verkäufe an Endkundinnen und Endkunden¹, Mio. Stück</w:t>
            </w:r>
            <w:r>
              <w:rPr>
                <w:rFonts w:ascii="Arial" w:hAnsi="Arial"/>
                <w:sz w:val="16"/>
              </w:rPr>
              <w:br/>
              <w:t/>
            </w:r>
          </w:p>
        </w:tc>
        <w:tc>
          <w:tcPr>
            <w:tcW w:w="1040" w:type="dxa"/>
            <w:vAlign w:val="center"/>
          </w:tcPr>
          <w:p w14:paraId="43143369" w14:textId="77777777" w:rsidR="00D67E55" w:rsidRDefault="00F266ED">
            <w:pPr>
              <w:pStyle w:val="NoIndent"/>
              <w:spacing w:after="0" w:line="240" w:lineRule="auto"/>
              <w:jc w:val="right"/>
              <w:rPr>
                <w:rFonts w:hint="eastAsia"/>
              </w:rPr>
            </w:pPr>
            <w:r>
              <w:rPr>
                <w:rFonts w:ascii="Arial" w:hAnsi="Arial"/>
                <w:sz w:val="18"/>
              </w:rPr>
              <w:t>12.887</w:t>
            </w:r>
          </w:p>
        </w:tc>
        <w:tc>
          <w:tcPr>
            <w:tcW w:w="1040" w:type="dxa"/>
            <w:vAlign w:val="center"/>
          </w:tcPr>
          <w:p w14:paraId="79052260" w14:textId="77777777" w:rsidR="00D67E55" w:rsidRDefault="00F266ED">
            <w:pPr>
              <w:pStyle w:val="NoIndent"/>
              <w:spacing w:after="0" w:line="240" w:lineRule="auto"/>
              <w:jc w:val="right"/>
              <w:rPr>
                <w:rFonts w:hint="eastAsia"/>
              </w:rPr>
            </w:pPr>
            <w:r>
              <w:rPr>
                <w:rFonts w:ascii="Arial" w:hAnsi="Arial"/>
                <w:sz w:val="18"/>
              </w:rPr>
              <w:t>13,919</w:t>
            </w:r>
          </w:p>
        </w:tc>
        <w:tc>
          <w:tcPr>
            <w:tcW w:w="1613" w:type="dxa"/>
            <w:vAlign w:val="center"/>
          </w:tcPr>
          <w:p w14:paraId="5504B7E8" w14:textId="77777777" w:rsidR="00D67E55" w:rsidRDefault="00F266ED">
            <w:pPr>
              <w:pStyle w:val="NoIndent"/>
              <w:spacing w:after="0" w:line="240" w:lineRule="auto"/>
              <w:jc w:val="right"/>
              <w:rPr>
                <w:rFonts w:hint="eastAsia"/>
              </w:rPr>
            </w:pPr>
            <w:r>
              <w:rPr>
                <w:rFonts w:ascii="Arial" w:hAnsi="Arial"/>
                <w:sz w:val="18"/>
              </w:rPr>
              <w:t>+8,01 %</w:t>
            </w:r>
          </w:p>
        </w:tc>
      </w:tr>
      <w:tr w:rsidR="00D67E55" w14:paraId="62827A5A" w14:textId="77777777">
        <w:trPr>
          <w:cantSplit/>
          <w:jc w:val="center"/>
        </w:trPr>
        <w:tc>
          <w:tcPr>
            <w:tcW w:w="2600" w:type="dxa"/>
            <w:vAlign w:val="center"/>
          </w:tcPr>
          <w:p w14:paraId="531BFADD" w14:textId="77777777" w:rsidR="00D67E55" w:rsidRDefault="00F266ED">
            <w:pPr>
              <w:pStyle w:val="NoIndent"/>
              <w:spacing w:after="0" w:line="240" w:lineRule="auto"/>
              <w:jc w:val="left"/>
              <w:rPr>
                <w:rFonts w:hint="eastAsia"/>
              </w:rPr>
            </w:pPr>
            <w:r>
              <w:rPr>
                <w:rFonts w:ascii="Arial" w:hAnsi="Arial"/>
                <w:sz w:val="18"/>
              </w:rPr>
              <w:t>Produktion von Infamed K, Mio. Stück</w:t>
            </w:r>
            <w:r>
              <w:rPr>
                <w:rFonts w:ascii="Arial" w:hAnsi="Arial"/>
                <w:sz w:val="16"/>
              </w:rPr>
              <w:br/>
              <w:t/>
            </w:r>
          </w:p>
        </w:tc>
        <w:tc>
          <w:tcPr>
            <w:tcW w:w="1040" w:type="dxa"/>
            <w:vAlign w:val="center"/>
          </w:tcPr>
          <w:p w14:paraId="7373C2C7" w14:textId="77777777" w:rsidR="00D67E55" w:rsidRDefault="00F266ED">
            <w:pPr>
              <w:pStyle w:val="NoIndent"/>
              <w:spacing w:after="0" w:line="240" w:lineRule="auto"/>
              <w:jc w:val="right"/>
              <w:rPr>
                <w:rFonts w:hint="eastAsia"/>
              </w:rPr>
            </w:pPr>
            <w:r>
              <w:rPr>
                <w:rFonts w:ascii="Arial" w:hAnsi="Arial"/>
                <w:sz w:val="18"/>
              </w:rPr>
              <w:t>8,550</w:t>
            </w:r>
          </w:p>
        </w:tc>
        <w:tc>
          <w:tcPr>
            <w:tcW w:w="1040" w:type="dxa"/>
            <w:vAlign w:val="center"/>
          </w:tcPr>
          <w:p w14:paraId="3B044BF9" w14:textId="77777777" w:rsidR="00D67E55" w:rsidRDefault="00F266ED">
            <w:pPr>
              <w:pStyle w:val="NoIndent"/>
              <w:spacing w:after="0" w:line="240" w:lineRule="auto"/>
              <w:jc w:val="right"/>
              <w:rPr>
                <w:rFonts w:hint="eastAsia"/>
              </w:rPr>
            </w:pPr>
            <w:r>
              <w:rPr>
                <w:rFonts w:ascii="Arial" w:hAnsi="Arial"/>
                <w:sz w:val="18"/>
              </w:rPr>
              <w:t>15,398</w:t>
            </w:r>
          </w:p>
        </w:tc>
        <w:tc>
          <w:tcPr>
            <w:tcW w:w="1613" w:type="dxa"/>
            <w:vAlign w:val="center"/>
          </w:tcPr>
          <w:p w14:paraId="2EE356B7" w14:textId="77777777" w:rsidR="00D67E55" w:rsidRDefault="00F266ED">
            <w:pPr>
              <w:pStyle w:val="NoIndent"/>
              <w:spacing w:after="0" w:line="240" w:lineRule="auto"/>
              <w:jc w:val="right"/>
              <w:rPr>
                <w:rFonts w:hint="eastAsia"/>
              </w:rPr>
            </w:pPr>
            <w:r>
              <w:rPr>
                <w:rFonts w:ascii="Arial" w:hAnsi="Arial"/>
                <w:sz w:val="18"/>
              </w:rPr>
              <w:t>+80,08%</w:t>
            </w:r>
          </w:p>
        </w:tc>
      </w:tr>
      <w:tr w:rsidR="00D67E55" w14:paraId="0DF7EA84" w14:textId="77777777">
        <w:trPr>
          <w:cantSplit/>
          <w:jc w:val="center"/>
        </w:trPr>
        <w:tc>
          <w:tcPr>
            <w:tcW w:w="2600" w:type="dxa"/>
            <w:vAlign w:val="center"/>
          </w:tcPr>
          <w:p w14:paraId="429CC0A9" w14:textId="77777777" w:rsidR="00D67E55" w:rsidRDefault="00F266ED">
            <w:pPr>
              <w:pStyle w:val="NoIndent"/>
              <w:spacing w:after="0" w:line="240" w:lineRule="auto"/>
              <w:jc w:val="left"/>
              <w:rPr>
                <w:rFonts w:hint="eastAsia"/>
              </w:rPr>
            </w:pPr>
            <w:r>
              <w:rPr>
                <w:rFonts w:ascii="Arial" w:hAnsi="Arial"/>
                <w:sz w:val="18"/>
              </w:rPr>
              <w:t>Produktion von Aruna-Fläschchen, Mio. Stück</w:t>
            </w:r>
            <w:r>
              <w:rPr>
                <w:rFonts w:ascii="Arial" w:hAnsi="Arial"/>
                <w:sz w:val="16"/>
              </w:rPr>
              <w:br/>
              <w:t/>
            </w:r>
          </w:p>
        </w:tc>
        <w:tc>
          <w:tcPr>
            <w:tcW w:w="1040" w:type="dxa"/>
            <w:vAlign w:val="center"/>
          </w:tcPr>
          <w:p w14:paraId="1297F7CD" w14:textId="77777777" w:rsidR="00D67E55" w:rsidRDefault="00F266ED">
            <w:pPr>
              <w:pStyle w:val="NoIndent"/>
              <w:spacing w:after="0" w:line="240" w:lineRule="auto"/>
              <w:jc w:val="right"/>
              <w:rPr>
                <w:rFonts w:hint="eastAsia"/>
              </w:rPr>
            </w:pPr>
            <w:r>
              <w:rPr>
                <w:rFonts w:ascii="Arial" w:hAnsi="Arial"/>
                <w:sz w:val="18"/>
              </w:rPr>
              <w:t>7.978</w:t>
            </w:r>
          </w:p>
        </w:tc>
        <w:tc>
          <w:tcPr>
            <w:tcW w:w="1040" w:type="dxa"/>
            <w:vAlign w:val="center"/>
          </w:tcPr>
          <w:p w14:paraId="6B0A363B" w14:textId="77777777" w:rsidR="00D67E55" w:rsidRDefault="00F266ED">
            <w:pPr>
              <w:pStyle w:val="NoIndent"/>
              <w:spacing w:after="0" w:line="240" w:lineRule="auto"/>
              <w:jc w:val="right"/>
              <w:rPr>
                <w:rFonts w:hint="eastAsia"/>
              </w:rPr>
            </w:pPr>
            <w:r>
              <w:rPr>
                <w:rFonts w:ascii="Arial" w:hAnsi="Arial"/>
                <w:sz w:val="18"/>
              </w:rPr>
              <w:t>15,810</w:t>
            </w:r>
          </w:p>
        </w:tc>
        <w:tc>
          <w:tcPr>
            <w:tcW w:w="1613" w:type="dxa"/>
            <w:vAlign w:val="center"/>
          </w:tcPr>
          <w:p w14:paraId="01CF6F92" w14:textId="77777777" w:rsidR="00D67E55" w:rsidRDefault="00F266ED">
            <w:pPr>
              <w:pStyle w:val="NoIndent"/>
              <w:spacing w:after="0" w:line="240" w:lineRule="auto"/>
              <w:jc w:val="right"/>
              <w:rPr>
                <w:rFonts w:hint="eastAsia"/>
              </w:rPr>
            </w:pPr>
            <w:r>
              <w:rPr>
                <w:rFonts w:ascii="Arial" w:hAnsi="Arial"/>
                <w:sz w:val="18"/>
              </w:rPr>
              <w:t>+98,18 %</w:t>
            </w:r>
          </w:p>
        </w:tc>
      </w:tr>
      <w:tr w:rsidR="00D67E55" w14:paraId="7E18DCB6" w14:textId="77777777">
        <w:trPr>
          <w:cantSplit/>
          <w:jc w:val="center"/>
        </w:trPr>
        <w:tc>
          <w:tcPr>
            <w:tcW w:w="2600" w:type="dxa"/>
            <w:vAlign w:val="center"/>
          </w:tcPr>
          <w:p w14:paraId="7AEC7F73" w14:textId="77777777" w:rsidR="00D67E55" w:rsidRDefault="00F266ED">
            <w:pPr>
              <w:pStyle w:val="NoIndent"/>
              <w:spacing w:after="0" w:line="240" w:lineRule="auto"/>
              <w:jc w:val="left"/>
              <w:rPr>
                <w:rFonts w:hint="eastAsia"/>
              </w:rPr>
            </w:pPr>
            <w:r>
              <w:rPr>
                <w:rFonts w:ascii="Arial" w:hAnsi="Arial"/>
                <w:sz w:val="18"/>
              </w:rPr>
              <w:lastRenderedPageBreak/>
              <w:t>Operatives Ergebnis (OIBDA), Mrd. RUB</w:t>
            </w:r>
            <w:r>
              <w:rPr>
                <w:rFonts w:ascii="Arial" w:hAnsi="Arial"/>
                <w:sz w:val="16"/>
              </w:rPr>
              <w:br/>
              <w:t/>
            </w:r>
          </w:p>
        </w:tc>
        <w:tc>
          <w:tcPr>
            <w:tcW w:w="1040" w:type="dxa"/>
            <w:vAlign w:val="center"/>
          </w:tcPr>
          <w:p w14:paraId="5DE26A24" w14:textId="77777777" w:rsidR="00D67E55" w:rsidRDefault="00F266ED">
            <w:pPr>
              <w:pStyle w:val="NoIndent"/>
              <w:spacing w:after="0" w:line="240" w:lineRule="auto"/>
              <w:jc w:val="right"/>
              <w:rPr>
                <w:rFonts w:hint="eastAsia"/>
              </w:rPr>
            </w:pPr>
            <w:r>
              <w:rPr>
                <w:rFonts w:ascii="Arial" w:hAnsi="Arial"/>
                <w:sz w:val="18"/>
              </w:rPr>
              <w:t>2,993</w:t>
            </w:r>
          </w:p>
        </w:tc>
        <w:tc>
          <w:tcPr>
            <w:tcW w:w="1040" w:type="dxa"/>
            <w:vAlign w:val="center"/>
          </w:tcPr>
          <w:p w14:paraId="520EE196" w14:textId="77777777" w:rsidR="00D67E55" w:rsidRDefault="00F266ED">
            <w:pPr>
              <w:pStyle w:val="NoIndent"/>
              <w:spacing w:after="0" w:line="240" w:lineRule="auto"/>
              <w:jc w:val="right"/>
              <w:rPr>
                <w:rFonts w:hint="eastAsia"/>
              </w:rPr>
            </w:pPr>
            <w:r>
              <w:rPr>
                <w:rFonts w:ascii="Arial" w:hAnsi="Arial"/>
                <w:sz w:val="18"/>
              </w:rPr>
              <w:t>3.042</w:t>
            </w:r>
          </w:p>
        </w:tc>
        <w:tc>
          <w:tcPr>
            <w:tcW w:w="1613" w:type="dxa"/>
            <w:vAlign w:val="center"/>
          </w:tcPr>
          <w:p w14:paraId="1FF110A9" w14:textId="77777777" w:rsidR="00D67E55" w:rsidRDefault="00F266ED">
            <w:pPr>
              <w:pStyle w:val="NoIndent"/>
              <w:spacing w:after="0" w:line="240" w:lineRule="auto"/>
              <w:jc w:val="right"/>
              <w:rPr>
                <w:rFonts w:hint="eastAsia"/>
              </w:rPr>
            </w:pPr>
            <w:r>
              <w:rPr>
                <w:rFonts w:ascii="Arial" w:hAnsi="Arial"/>
                <w:sz w:val="18"/>
              </w:rPr>
              <w:t>+1,63%</w:t>
            </w:r>
          </w:p>
        </w:tc>
      </w:tr>
      <w:tr w:rsidR="00D67E55" w14:paraId="11E6C7E7" w14:textId="77777777">
        <w:trPr>
          <w:cantSplit/>
          <w:jc w:val="center"/>
        </w:trPr>
        <w:tc>
          <w:tcPr>
            <w:tcW w:w="2600" w:type="dxa"/>
            <w:vAlign w:val="center"/>
          </w:tcPr>
          <w:p w14:paraId="1AD83099" w14:textId="77777777" w:rsidR="00D67E55" w:rsidRDefault="00F266ED">
            <w:pPr>
              <w:pStyle w:val="NoIndent"/>
              <w:spacing w:after="0" w:line="240" w:lineRule="auto"/>
              <w:jc w:val="left"/>
              <w:rPr>
                <w:rFonts w:hint="eastAsia"/>
              </w:rPr>
            </w:pPr>
            <w:r>
              <w:rPr>
                <w:rFonts w:ascii="Arial" w:hAnsi="Arial"/>
                <w:sz w:val="18"/>
              </w:rPr>
              <w:t>EBITDA (nach Berechnungsmethode des Berichts)², Mrd. RUB</w:t>
            </w:r>
            <w:r>
              <w:rPr>
                <w:rFonts w:ascii="Arial" w:hAnsi="Arial"/>
                <w:sz w:val="16"/>
              </w:rPr>
              <w:br/>
              <w:t/>
            </w:r>
          </w:p>
        </w:tc>
        <w:tc>
          <w:tcPr>
            <w:tcW w:w="1040" w:type="dxa"/>
            <w:vAlign w:val="center"/>
          </w:tcPr>
          <w:p w14:paraId="72CD286F" w14:textId="77777777" w:rsidR="00D67E55" w:rsidRDefault="00F266ED">
            <w:pPr>
              <w:pStyle w:val="NoIndent"/>
              <w:spacing w:after="0" w:line="240" w:lineRule="auto"/>
              <w:jc w:val="right"/>
              <w:rPr>
                <w:rFonts w:hint="eastAsia"/>
              </w:rPr>
            </w:pPr>
            <w:r>
              <w:rPr>
                <w:rFonts w:ascii="Arial" w:hAnsi="Arial"/>
                <w:sz w:val="18"/>
              </w:rPr>
              <w:t>3.176</w:t>
            </w:r>
          </w:p>
        </w:tc>
        <w:tc>
          <w:tcPr>
            <w:tcW w:w="1040" w:type="dxa"/>
            <w:vAlign w:val="center"/>
          </w:tcPr>
          <w:p w14:paraId="439515C6" w14:textId="77777777" w:rsidR="00D67E55" w:rsidRDefault="00F266ED">
            <w:pPr>
              <w:pStyle w:val="NoIndent"/>
              <w:spacing w:after="0" w:line="240" w:lineRule="auto"/>
              <w:jc w:val="right"/>
              <w:rPr>
                <w:rFonts w:hint="eastAsia"/>
              </w:rPr>
            </w:pPr>
            <w:r>
              <w:rPr>
                <w:rFonts w:ascii="Arial" w:hAnsi="Arial"/>
                <w:sz w:val="18"/>
              </w:rPr>
              <w:t>3,510</w:t>
            </w:r>
          </w:p>
        </w:tc>
        <w:tc>
          <w:tcPr>
            <w:tcW w:w="1613" w:type="dxa"/>
            <w:vAlign w:val="center"/>
          </w:tcPr>
          <w:p w14:paraId="497112B0" w14:textId="77777777" w:rsidR="00D67E55" w:rsidRDefault="00F266ED">
            <w:pPr>
              <w:pStyle w:val="NoIndent"/>
              <w:spacing w:after="0" w:line="240" w:lineRule="auto"/>
              <w:jc w:val="right"/>
              <w:rPr>
                <w:rFonts w:hint="eastAsia"/>
              </w:rPr>
            </w:pPr>
            <w:r>
              <w:rPr>
                <w:rFonts w:ascii="Arial" w:hAnsi="Arial"/>
                <w:sz w:val="18"/>
              </w:rPr>
              <w:t>+10,50%</w:t>
            </w:r>
          </w:p>
        </w:tc>
      </w:tr>
      <w:tr w:rsidR="00D67E55" w14:paraId="0DFFB818" w14:textId="77777777">
        <w:trPr>
          <w:cantSplit/>
          <w:jc w:val="center"/>
        </w:trPr>
        <w:tc>
          <w:tcPr>
            <w:tcW w:w="2600" w:type="dxa"/>
            <w:vAlign w:val="center"/>
          </w:tcPr>
          <w:p w14:paraId="5D8F93DA" w14:textId="77777777" w:rsidR="00D67E55" w:rsidRDefault="00F266ED">
            <w:pPr>
              <w:pStyle w:val="NoIndent"/>
              <w:spacing w:after="0" w:line="240" w:lineRule="auto"/>
              <w:jc w:val="left"/>
              <w:rPr>
                <w:rFonts w:hint="eastAsia"/>
              </w:rPr>
            </w:pPr>
            <w:r>
              <w:rPr>
                <w:rFonts w:ascii="Arial" w:hAnsi="Arial"/>
                <w:sz w:val="18"/>
              </w:rPr>
              <w:t>Jahresüberschuss des Unternehmens, Mrd. RUB</w:t>
            </w:r>
            <w:r>
              <w:rPr>
                <w:rFonts w:ascii="Arial" w:hAnsi="Arial"/>
                <w:sz w:val="16"/>
              </w:rPr>
              <w:br/>
              <w:t/>
            </w:r>
          </w:p>
        </w:tc>
        <w:tc>
          <w:tcPr>
            <w:tcW w:w="1040" w:type="dxa"/>
            <w:vAlign w:val="center"/>
          </w:tcPr>
          <w:p w14:paraId="6827EF1B" w14:textId="77777777" w:rsidR="00D67E55" w:rsidRDefault="00F266ED">
            <w:pPr>
              <w:pStyle w:val="NoIndent"/>
              <w:spacing w:after="0" w:line="240" w:lineRule="auto"/>
              <w:jc w:val="right"/>
              <w:rPr>
                <w:rFonts w:hint="eastAsia"/>
              </w:rPr>
            </w:pPr>
            <w:r>
              <w:rPr>
                <w:rFonts w:ascii="Arial" w:hAnsi="Arial"/>
                <w:sz w:val="18"/>
              </w:rPr>
              <w:t>2,973</w:t>
            </w:r>
          </w:p>
        </w:tc>
        <w:tc>
          <w:tcPr>
            <w:tcW w:w="1040" w:type="dxa"/>
            <w:vAlign w:val="center"/>
          </w:tcPr>
          <w:p w14:paraId="5F0CC1A3" w14:textId="77777777" w:rsidR="00D67E55" w:rsidRDefault="00F266ED">
            <w:pPr>
              <w:pStyle w:val="NoIndent"/>
              <w:spacing w:after="0" w:line="240" w:lineRule="auto"/>
              <w:jc w:val="right"/>
              <w:rPr>
                <w:rFonts w:hint="eastAsia"/>
              </w:rPr>
            </w:pPr>
            <w:r>
              <w:rPr>
                <w:rFonts w:ascii="Arial" w:hAnsi="Arial"/>
                <w:sz w:val="18"/>
              </w:rPr>
              <w:t>2,810</w:t>
            </w:r>
          </w:p>
        </w:tc>
        <w:tc>
          <w:tcPr>
            <w:tcW w:w="1613" w:type="dxa"/>
            <w:vAlign w:val="center"/>
          </w:tcPr>
          <w:p w14:paraId="076D7A76" w14:textId="77777777" w:rsidR="00D67E55" w:rsidRDefault="00F266ED">
            <w:pPr>
              <w:pStyle w:val="NoIndent"/>
              <w:spacing w:after="0" w:line="240" w:lineRule="auto"/>
              <w:jc w:val="right"/>
              <w:rPr>
                <w:rFonts w:hint="eastAsia"/>
              </w:rPr>
            </w:pPr>
            <w:r>
              <w:rPr>
                <w:rFonts w:ascii="Arial" w:hAnsi="Arial"/>
                <w:sz w:val="18"/>
              </w:rPr>
              <w:t>- 5,47%</w:t>
            </w:r>
          </w:p>
        </w:tc>
      </w:tr>
    </w:tbl>
    <w:p w14:paraId="26461F2D" w14:textId="77777777" w:rsidR="00D67E55" w:rsidRDefault="00F266ED">
      <w:pPr>
        <w:pStyle w:val="SmallNote"/>
        <w:rPr>
          <w:rFonts w:hint="eastAsia"/>
        </w:rPr>
      </w:pPr>
      <w:r>
        <w:rPr>
          <w:rFonts w:ascii="Arial" w:hAnsi="Arial"/>
          <w:sz w:val="20"/>
        </w:rPr>
        <w:t>1 Off-take-Verkäufe sind Miramistin und Okomistin. Sell-in-Sendungen decken alle SKUs ab; dies sind verschiedene Metriken.</w:t>
      </w:r>
    </w:p>
    <w:p w14:paraId="6B26CC80" w14:textId="77777777" w:rsidR="00D67E55" w:rsidRDefault="00F266ED">
      <w:pPr>
        <w:pStyle w:val="SmallNote"/>
        <w:rPr>
          <w:rFonts w:hint="eastAsia"/>
        </w:rPr>
      </w:pPr>
      <w:r>
        <w:rPr>
          <w:rFonts w:ascii="Arial" w:hAnsi="Arial"/>
          <w:sz w:val="20"/>
        </w:rPr>
        <w:t>2 Das EBITDA wird in der Definition des Management-Reportings dargestellt: mit anderen Erträgen und Aufwendungen, einschließlich Zinsen auf Einlagen.</w:t>
      </w:r>
    </w:p>
    <w:p w14:paraId="4A802B75" w14:textId="77777777" w:rsidR="00D67E55" w:rsidRDefault="00F266ED">
      <w:pPr>
        <w:pStyle w:val="SmallNote"/>
        <w:rPr>
          <w:rFonts w:hint="eastAsia"/>
        </w:rPr>
      </w:pPr>
      <w:r>
        <w:rPr>
          <w:rFonts w:ascii="Arial" w:hAnsi="Arial"/>
          <w:sz w:val="20"/>
        </w:rPr>
        <w:t>Die 2023-Vergleiche im Bericht 2024 unterscheiden sich vom ursprünglichen Bericht 2023, wobei beide Spalten des gleichen, späteren Berichts für die Tabelle verwendet werden, auf drei Stellen gerundet und durch ungerundete Beträge berechnet.</w:t>
      </w:r>
    </w:p>
    <w:p w14:paraId="32100324" w14:textId="77777777" w:rsidR="00D67E55" w:rsidRDefault="00F266ED">
      <w:pPr>
        <w:pStyle w:val="31"/>
      </w:pPr>
      <w:r>
        <w:rPr>
          <w:rFonts w:ascii="Arial" w:hAnsi="Arial"/>
          <w:sz w:val="20"/>
        </w:rPr>
        <w:t>Wachstum hebt die Einschränkungen nicht auf</w:t>
      </w:r>
    </w:p>
    <w:p w14:paraId="2B555B8A" w14:textId="77777777" w:rsidR="00D67E55" w:rsidRDefault="00F266ED">
      <w:r>
        <w:t>Ende 2024 lagen die Mehrwertsteuereinnahmen 13,77 % unter dem Plan, der OIBDA 14,68 % unter dem Plan und der Nettogewinn bis 2023 um 5,47 %. Dies sind wichtige Indikatoren für die Bewertung der Geschäftsentwicklung, sollten jedoch nicht automatisch als Nichterfüllung der Mindest-KPIs der Aktionäre interpretiert werden. Alle von den Aktionären festgelegten Mindest-KPIs wurden erfüllt; ich habe eine höhere Messlatte für das Team festgelegt.</w:t>
      </w:r>
      <w:r>
        <w:lastRenderedPageBreak/>
        <w:t/>
      </w:r>
      <w:r>
        <w:lastRenderedPageBreak/>
        <w:t/>
      </w:r>
    </w:p>
    <w:p w14:paraId="04A58059" w14:textId="77777777" w:rsidR="00D67E55" w:rsidRDefault="00F266ED">
      <w:pPr>
        <w:pStyle w:val="SmallNote"/>
        <w:rPr>
          <w:rFonts w:hint="eastAsia"/>
        </w:rPr>
      </w:pPr>
      <w:r>
        <w:rPr>
          <w:rFonts w:ascii="Arial" w:hAnsi="Arial"/>
          <w:sz w:val="20"/>
        </w:rPr>
        <w:t>Quellen der Tabelle: Bericht an die Aktionäre 2024-12 - GIA und Berichterstattung 2024-12 - GIA, Abschnitte der Finanzergebnisse, Verkäufe und Produktion. Dies sind Managementdaten, nicht das Ergebnis einer unabhängigen Prüfung. Die Klarstellung zur Umsetzung aller Mindest-Aktionärskennzahlen und strengeren Anforderungen des Managers erfolgt vom Autor, getrennt von Finanz- und Produktionsindikatoren des Berichts.</w:t>
      </w:r>
    </w:p>
    <w:p w14:paraId="5C39872F" w14:textId="77777777" w:rsidR="00D67E55" w:rsidRDefault="00F266ED">
      <w:pPr>
        <w:pStyle w:val="21"/>
        <w:pageBreakBefore/>
      </w:pPr>
      <w:r>
        <w:rPr>
          <w:rFonts w:ascii="Arial" w:hAnsi="Arial"/>
          <w:sz w:val="20"/>
        </w:rPr>
        <w:lastRenderedPageBreak/>
        <w:t>13. Wenn Vertrauen ein System ersetzt</w:t>
      </w:r>
    </w:p>
    <w:p w14:paraId="26040066" w14:textId="77777777" w:rsidR="00D67E55" w:rsidRDefault="00F266ED">
      <w:pPr>
        <w:pStyle w:val="NoIndent"/>
        <w:rPr>
          <w:rFonts w:hint="eastAsia"/>
        </w:rPr>
      </w:pPr>
      <w:r>
        <w:rPr>
          <w:rFonts w:ascii="Arial" w:hAnsi="Arial"/>
          <w:sz w:val="20"/>
        </w:rPr>
        <w:t>Familienunternehmen haben lange Zeit Informalität belohnt: Die Menschen kennen sich gegenseitig, verstehen die Intonationen des anderen, erinnern sich an alte Vereinbarungen; Sie müssen nicht jede Hintergrundgeschichte erklären; ein Telefongespräch ersetzt manchmal fünf Meetings; es schafft Geschwindigkeit - und gleichzeitig sammelt es unsichtbare Schulden an.</w:t>
      </w:r>
    </w:p>
    <w:p w14:paraId="0290193B" w14:textId="77777777" w:rsidR="00D67E55" w:rsidRDefault="00F266ED">
      <w:r>
        <w:t>Solche Schulden bestehen aus Entscheidungen, an die sich jeder zu erinnern scheint, aber niemand produzieren kann; Befugnisse, die tatsächlich existieren, aber nicht beschrieben werden; finanzielle Beziehungen, in denen der Vermittler gewohnheitsmäßig handelt, aber seine rechtliche Rolle nicht definiert ist; Eigentum, das auf Familienebene in einer Weise wahrgenommen wird, aber in den Registern anders aussieht.</w:t>
      </w:r>
    </w:p>
    <w:p w14:paraId="6D24AD8B" w14:textId="77777777" w:rsidR="00D67E55" w:rsidRDefault="00F266ED">
      <w:r>
        <w:t>Die ersten Alarme scheinen eher privat zu sein: die Maklerfrage, die Geldflussfrage, die Frage, wer die Bankinformationen erhält, die Frage, warum die Entscheidung durch einen Verwandten weitergegeben wurde, anstatt von allen diskutiert zu werden, jede Episode kann erklärt werden, die Gefahr entsteht, wenn man mehr und mehr erklären muss.</w:t>
      </w:r>
    </w:p>
    <w:p w14:paraId="3322A7C8" w14:textId="77777777" w:rsidR="00D67E55" w:rsidRDefault="00F266ED">
      <w:r>
        <w:t>Nun, in unseren Archiven, lange vor dem Höhepunkt von 2024, gibt es Fragen der finanziellen Transparenz und der Rolle einzelner Vermittler, und ich möchte nicht rückwirkend erklären, dass jede dieser Fragen Teil einer zukünftigen Verschwörung ist. Das wäre zu bequem, aber heute sehe ich, dass genau in diesen kleinen Diskrepanzen ein Umfeld entsteht, in dem Informationen zu einer Machtquelle werden.</w:t>
      </w:r>
    </w:p>
    <w:p w14:paraId="538B7EFE" w14:textId="77777777" w:rsidR="00D67E55" w:rsidRDefault="00F266ED">
      <w:r>
        <w:t>In einem Unternehmen, in dem die Autorität klar ist, bewegen sich die Informationen durch die Prozedur. In einem Unternehmen, in dem die Prozedur durch eine persönliche Beziehung ersetzt wird, beginnt die Person, die mehr weiß, mehr zu wiegen als ihre Position. Manchmal passiert es natürlich. Manchmal nutzt die Person die Situation bewusst aus. Aber das Ergebnis ist dasselbe: Die tatsächliche Machtstruktur beginnt, vom Formalen abzuweichen.</w:t>
      </w:r>
    </w:p>
    <w:p w14:paraId="2993C039" w14:textId="77777777" w:rsidR="00D67E55" w:rsidRDefault="00F266ED">
      <w:pPr>
        <w:spacing w:after="0" w:line="228" w:lineRule="auto"/>
      </w:pPr>
      <w:r>
        <w:t>Für die Nachwelt ist die Botschaft einfach: Wenn niemand weiß, was ohne eine Person vor sich geht, ist es kein Management mehr, es ist Sucht. Das System muss den Urlaub, den Konflikt und den Weggang aller Beteiligten durchlaufen.</w:t>
      </w:r>
    </w:p>
    <w:p w14:paraId="24421E67" w14:textId="77777777" w:rsidR="00D67E55" w:rsidRDefault="00F266ED">
      <w:pPr>
        <w:pStyle w:val="21"/>
        <w:pageBreakBefore/>
      </w:pPr>
      <w:r>
        <w:rPr>
          <w:rFonts w:ascii="Arial" w:hAnsi="Arial"/>
          <w:sz w:val="20"/>
        </w:rPr>
        <w:lastRenderedPageBreak/>
        <w:t>14. Was wir aufzubauen versuchten</w:t>
      </w:r>
    </w:p>
    <w:p w14:paraId="17952B24" w14:textId="77777777" w:rsidR="00D67E55" w:rsidRDefault="00F266ED">
      <w:pPr>
        <w:pStyle w:val="NoIndent"/>
        <w:spacing w:line="240" w:lineRule="auto" w:before="0" w:after="0"/>
        <w:rPr>
          <w:rFonts w:hint="eastAsia"/>
        </w:rPr>
      </w:pPr>
      <w:r>
        <w:rPr>
          <w:rFonts w:ascii="Arial" w:hAnsi="Arial"/>
          <w:sz w:val="20"/>
        </w:rPr>
        <w:t>Bis zum Sommer 2024 war das Problem der komplexen Struktur der Gruppe nicht nur für mich offensichtlich: Verschiedene juristische Personen übten unterschiedliche Funktionen aus, Vermögenswerte und Rechte waren verstreut, Steuer- und Lizenzrisiken erforderten eine systemische Lösung, und die Möglichkeit, Investoren anzuziehen, und eine zukünftige strategische Transaktion wurde parallel diskutiert.</w:t>
      </w:r>
    </w:p>
    <w:p w14:paraId="50A4AFC3" w14:textId="77777777" w:rsidR="00D67E55" w:rsidRDefault="00F266ED">
      <w:pPr>
        <w:spacing w:line="240" w:lineRule="auto" w:before="0" w:after="0"/>
      </w:pPr>
      <w:r>
        <w:t>Und so entstand Project Estate, und es sind nicht nur die Gespräche, die im Archiv aufbewahrt werden, es sind auch die professionellen Dokumente - die Konsolidierungspräsentation, die Roadmap, die rechtliche Risikomatrix - die für mich wichtig sind, nicht weil jeder Schritt, der dort vorgeschlagen wurde, richtig war oder umgesetzt wurde, sondern es ist wichtig, dass die Umstrukturierung Ende Juli und August 2024 ein eigenständiges Geschäftsprojekt war, keine späte Rechtfertigung für Maßnahmen nach einem Konflikt.</w:t>
      </w:r>
    </w:p>
    <w:p w14:paraId="58F7A1B5" w14:textId="77777777" w:rsidR="00D67E55" w:rsidRDefault="00F266ED">
      <w:pPr>
        <w:spacing w:line="240" w:lineRule="auto" w:before="0" w:after="0"/>
      </w:pPr>
      <w:r>
        <w:t>Die Risikomatrix zeigt, wie viele Themen gleichzeitig diskutiert wurden: Salaryevo-Lager, Steuerposition, Infamed K-Eigentumsstruktur, FPIF-Nutzung, Lizenzgebühren, geistiges Eigentum, Registrierungszertifikate. Die Roadmap enthielt Optionen für die Übertragung von Vermögenswerten, die Schaffung neuer Strukturen und die Lizenzierung von IP durch eine freundliche Gerichtsbarkeit.</w:t>
      </w:r>
    </w:p>
    <w:p w14:paraId="2F037CBD" w14:textId="77777777" w:rsidR="00D67E55" w:rsidRDefault="00F266ED">
      <w:pPr>
        <w:spacing w:line="240" w:lineRule="auto" w:before="0" w:after="0"/>
      </w:pPr>
      <w:r>
        <w:t>Ich betrachte es als eine Zeit, in der wir das Geschäft auf die nächste Phase vorzubereiten schienen, nicht auf den Krieg, sondern auf das Erwachsenenalter, um die Struktur zu vereinfachen, es den Anlegern zu erleichtern, das Risiko zu verringern und wichtige Vermögenswerte in einem sich verändernden internationalen Umfeld zu erhalten.</w:t>
      </w:r>
    </w:p>
    <w:p w14:paraId="33D52C49" w14:textId="77777777" w:rsidR="00D67E55" w:rsidRDefault="00F266ED">
      <w:pPr>
        <w:spacing w:line="240" w:lineRule="auto" w:before="0" w:after="0"/>
      </w:pPr>
      <w:r>
        <w:t>Später wurden viele der Dokumente der Zeit durch die Linse des Konflikts gelesen, und jedes Wort über Vermögensübertragungen klang verdächtig, aber jedes M &amp; A- oder Restrukturierungsprojekt ist definitionsgemäß eine Übertragung von Vermögenswerten, und es geht nicht um das Wort "Transfer" selbst, es geht um Zweck, Preis, Autorität, Begünstigter und Genehmigung.</w:t>
      </w:r>
    </w:p>
    <w:p w14:paraId="1410CD41" w14:textId="77777777" w:rsidR="00D67E55" w:rsidRDefault="00F266ED">
      <w:pPr>
        <w:spacing w:line="240" w:lineRule="auto" w:before="0" w:after="0"/>
      </w:pPr>
      <w:r>
        <w:t>Und deshalb versuche ich, mich an den Sommer 2024 zu erinnern, nicht durch das Wissen von 2026. Wir lebten damals nicht in den heutigen Klagen. Wir arbeiteten an einem Projekt für die Zukunft. Der Fehler war nicht, dass wir über Umstrukturierungen nachdachten. Der Fehler war, dass wir, als die Spannung wuchs, nicht aufhörten und ein gemeinsames Projekt in eine Reihe von fehlerfreien formalisierten Entscheidungen von jedem Unternehmen verwandelten.</w:t>
      </w:r>
      <w:r>
        <w:lastRenderedPageBreak/>
        <w:t/>
      </w:r>
    </w:p>
    <w:p w14:paraId="639EFD32" w14:textId="77777777" w:rsidR="00D67E55" w:rsidRDefault="00F266ED">
      <w:pPr>
        <w:pStyle w:val="21"/>
        <w:pageBreakBefore/>
      </w:pPr>
      <w:r>
        <w:rPr>
          <w:rFonts w:ascii="Arial" w:hAnsi="Arial"/>
          <w:sz w:val="20"/>
        </w:rPr>
        <w:lastRenderedPageBreak/>
        <w:t>15. Geistiges Eigentum als Schwerpunkt</w:t>
      </w:r>
    </w:p>
    <w:p w14:paraId="6564450C" w14:textId="77777777" w:rsidR="00D67E55" w:rsidRDefault="00F266ED">
      <w:pPr>
        <w:pStyle w:val="NoIndent"/>
        <w:rPr>
          <w:rFonts w:hint="eastAsia"/>
        </w:rPr>
      </w:pPr>
      <w:r>
        <w:rPr>
          <w:rFonts w:ascii="Arial" w:hAnsi="Arial"/>
          <w:sz w:val="20"/>
        </w:rPr>
        <w:t>Die Pharmaindustrie lehrt schnell: Die Pflanze ist wichtig, aber das Recht auf ein Produkt kann wichtiger sein als die Pflanze. Eine Marke, ein Patent, eine Registrierung, eine Lizenz ist kein "gesetzlicher Anhang". Es ist ein Weg, die Produktion in einen Markt zu verwandeln.</w:t>
      </w:r>
    </w:p>
    <w:p w14:paraId="52B9CE0D" w14:textId="77777777" w:rsidR="00D67E55" w:rsidRDefault="00F266ED">
      <w:r>
        <w:t>Megainpharm hat historisch gesehen einen Großteil des internationalen geistigen Eigentums besessen, eine Architektur, die einst ihre Logik hatte, aber bis 2024 wurden die europäischen Gerichtsbarkeiten immer weniger bequem für Unternehmen, die sich auf Russland und internationale Märkte außerhalb der EU konzentrierten.</w:t>
      </w:r>
    </w:p>
    <w:p w14:paraId="3D22A9C1" w14:textId="77777777" w:rsidR="00D67E55" w:rsidRDefault="00F266ED">
      <w:r>
        <w:t>Die Konsolidierungsmaterialien diskutierten direkt die IP-Lizenzierung durch eine solche Gerichtsbarkeit; später betrachtete das Term Sheet Project Estate vom 31. August in einer spezifischeren Form den Entzug des geistigen Eigentums aus Österreich in die VAE und die Möglichkeit, ein neues Dubai-Unternehmen in den Umfang der Transaktion aufzunehmen, nachdem die Lizenzen neu verhandelt wurden.</w:t>
      </w:r>
    </w:p>
    <w:p w14:paraId="75D73391" w14:textId="77777777" w:rsidR="00D67E55" w:rsidRDefault="00F266ED">
      <w:r>
        <w:t>Für mich ist dies eines der wichtigsten Dokumente aller Geschichte. Es beweist nicht, dass ein bestimmter Vertrag automatisch genehmigt wurde, aber es zeigt, dass die Richtung "Österreich-Dubai-Neue IP-Struktur" in einem transaktionalen Kontext existierte und vor der offenen September-Eskalation diskutiert wurde.</w:t>
      </w:r>
    </w:p>
    <w:p w14:paraId="5BE23570" w14:textId="77777777" w:rsidR="00D67E55" w:rsidRDefault="00F266ED">
      <w:r>
        <w:t>Im Laufe der Zeit tauchten so viele Emotionen rund um IP auf, dass eine einfache Tatsache neu archiviert werden musste: Geistiges Eigentum war kein Nebenthema des Konflikts, sondern ein wichtiges Wertzentrum, so dass jeder Streit über die Kontrolle von Megainpharm unweigerlich zu einem Streit über die Zukunft von Miramistin wurde.</w:t>
      </w:r>
    </w:p>
    <w:p w14:paraId="1028FBF5" w14:textId="77777777" w:rsidR="00D67E55" w:rsidRDefault="00F266ED">
      <w:pPr>
        <w:spacing w:after="0" w:line="228" w:lineRule="auto"/>
      </w:pPr>
      <w:r>
        <w:t>Heute würde ich fünf Dinge teilen: wirtschaftliche Entscheidung der Eigentümer, unabhängige Bewertung, Unternehmenszulassung des Rechteinhabers, Genehmigung des Unterzeichners und Bankkontrolle der Zahlung: fünf Dokumente anstelle eines allgemeinen Gefühls: "Das ist unser vereinbartes Projekt."</w:t>
      </w:r>
    </w:p>
    <w:p w14:paraId="0F56998F" w14:textId="77777777" w:rsidR="00D67E55" w:rsidRDefault="00F266ED">
      <w:pPr>
        <w:pStyle w:val="21"/>
      </w:pPr>
      <w:r>
        <w:rPr>
          <w:rFonts w:ascii="Arial" w:hAnsi="Arial"/>
          <w:sz w:val="20"/>
        </w:rPr>
        <w:lastRenderedPageBreak/>
        <w:t>15A. Prüfung des Vertriebsbereichs: Schwierige Fragen vor dem Familienkonflikt</w:t>
      </w:r>
    </w:p>
    <w:p w14:paraId="084DB53B" w14:textId="77777777" w:rsidR="00D67E55" w:rsidRDefault="00F266ED">
      <w:pPr>
        <w:pStyle w:val="NoIndent"/>
        <w:rPr>
          <w:rFonts w:hint="eastAsia"/>
        </w:rPr>
      </w:pPr>
      <w:r>
        <w:rPr>
          <w:rFonts w:ascii="Arial" w:hAnsi="Arial"/>
          <w:sz w:val="20"/>
        </w:rPr>
        <w:t>Wenn ich heute die Dokumente von 2024 lese, ist es verlockend zu glauben, dass das der Zeitpunkt ist, an dem der ganze Konflikt begann, und das Archiv mir nicht das Recht gibt, eine so einfache Geschichte zu haben. Damals in 2022-2023 habe ich eine weitere Linie gemacht, um die Sauberkeit und Transparenz des kommerziellen Blocks der Gruppe zu testen, bei dem es um Beschaffung, Vermittler, ausländische Lieferanten, Qualität und Geldverkehr ging.</w:t>
      </w:r>
    </w:p>
    <w:p w14:paraId="282E4757" w14:textId="77777777" w:rsidR="00D67E55" w:rsidRDefault="00F266ED">
      <w:r>
        <w:t>Diese Untersuchung war kein Gerichtsverfahren und gab mir auch nicht das Recht, jemanden im Voraus für schuldig zu erklären, aber wir versuchten zu verstehen, warum die einfache Beschaffung von Komponenten zu einer langen Kette von Unternehmen wurde, wie wirtschaftlich gerechtfertigt diese Kette war, wo die Margen blieben und warum individuelle Entscheidungen des Moskauer Büros die Ankäufe der Produktion in Bagrationovsk beeinflussten.</w:t>
      </w:r>
    </w:p>
    <w:p w14:paraId="1273A335" w14:textId="77777777" w:rsidR="00D67E55" w:rsidRDefault="00F266ED">
      <w:r>
        <w:t>Im Jänner 2023 schrieb mein Vater über den Zweck der Studie, um die Kohärenz und das Interesse von Top-Führungskräften im Beschaffungswesen zu testen. Im Februar wurde der Streit offen. Ich schrieb hart, bezog mich auf Bankauszüge, forderte ein transparentes Modell und schlug vor, dass wir uns von den meiner Meinung nach undurchsichtigen Zwischenketten entfernen sollten. Heute würde ich viele Briefe ruhiger formulieren, aber die Frage der Transparenz war real.</w:t>
      </w:r>
    </w:p>
    <w:p w14:paraId="7948F07B" w14:textId="77777777" w:rsidR="00D67E55" w:rsidRDefault="00F266ED">
      <w:r>
        <w:t>Und die andere Sache ist, dass das Audit nicht damit endete, dass ich nur einen Anbieter verbot, und im März und April verglichen wir BONA, STONE und russische Alternativen, wir sprachen über Feldprüfungen, Sprayqualität, Beschwerden und Wirtschaftlichkeit, und das war zu sagen, emotionale Konflikte wurden allmählich zu einem normalen Lieferanten-Audit, und das ist eine der Lektionen dieser Geschichte: Selbst unangenehmer Verdacht ist nur dann nützlich, wenn es ein überprüfbares Verfahren wird.</w:t>
      </w:r>
    </w:p>
    <w:p w14:paraId="7E3EA2C7" w14:textId="77777777" w:rsidR="00D67E55" w:rsidRDefault="00F266ED">
      <w:r>
        <w:t>Im Mai 2023 waren die Untersuchungsunterlagen bereits vorhanden und wurden an Eigentümer und Berater weitergegeben, darunter GA-2022-98-BES-11, das ich als Teil des Familienarchivs aufbewahre, aber ich möchte seine Ergebnisse nicht in ein Urteil verwandeln: Die Herkunft einzelner Daten und die primären Bankenquellen sollten separat überprüft werden.</w:t>
      </w:r>
    </w:p>
    <w:p w14:paraId="43F7B57D" w14:textId="77777777" w:rsidR="00D67E55" w:rsidRDefault="00F266ED">
      <w:r>
        <w:lastRenderedPageBreak/>
        <w:t>Diese Geschichte ist wichtig für zukünftige Leser, weil sie meine Rolle vor MIF und Innovexa zeigt: Ich habe mich nicht nur mit internationalen Transaktionen und geistigem Eigentum, sondern auch mit internen Kontrollen befasst. Es hat mich für einige Leute unbequem gemacht und mir gleichzeitig zu viel Konzentration von Informationen gegeben.</w:t>
      </w:r>
    </w:p>
    <w:p w14:paraId="10FA465E" w14:textId="77777777" w:rsidR="00D67E55" w:rsidRDefault="00F266ED">
      <w:r>
        <w:t>Ich lasse also zwei Linien auseinander: die erste ist der Management-Kontroll-Konflikt 2022-2023 um Beschaffung und Transparenz; die zweite ist der Familien-/Governance-Konflikt, der sich später als MIFs, Autorität, IP und Kontrolle herausstellte. Sie haben sich vielleicht irgendwo überschnitten. Aber ich muss der Nachwelt keine schöne Theorie hinterlassen, sondern die Grenze zwischen bewiesen und vermutet.</w:t>
      </w:r>
    </w:p>
    <w:p w14:paraId="6C6A4256" w14:textId="77777777" w:rsidR="00D67E55" w:rsidRDefault="00F266ED">
      <w:r>
        <w:t>Aus dieser Episode habe ich eine Regel gelernt, die heute offensichtlich erscheint: Verdacht sollte ein Audit auslösen, nicht eine Erinnerung an Schuld.</w:t>
      </w:r>
    </w:p>
    <w:p w14:paraId="437FD44E" w14:textId="77777777" w:rsidR="00D67E55" w:rsidRDefault="00F266ED">
      <w:pPr>
        <w:pStyle w:val="1"/>
        <w:pageBreakBefore/>
        <w:spacing w:before="900" w:after="480"/>
        <w:jc w:val="center"/>
      </w:pPr>
      <w:r>
        <w:rPr>
          <w:rFonts w:ascii="Arial" w:hAnsi="Arial"/>
          <w:sz w:val="20"/>
        </w:rPr>
        <w:lastRenderedPageBreak/>
        <w:t>Teil III. April bis November 2024: Vom Projekt zum Wendepunkt</w:t>
      </w:r>
    </w:p>
    <w:p w14:paraId="1A007FF1" w14:textId="77777777" w:rsidR="00D67E55" w:rsidRDefault="00F266ED">
      <w:pPr>
        <w:pStyle w:val="21"/>
        <w:pageBreakBefore/>
      </w:pPr>
      <w:r>
        <w:rPr>
          <w:rFonts w:ascii="Arial" w:hAnsi="Arial"/>
          <w:sz w:val="20"/>
        </w:rPr>
        <w:lastRenderedPageBreak/>
        <w:t>16. Dubai vor dem Konflikt</w:t>
      </w:r>
    </w:p>
    <w:tbl>
      <w:tblPr>
        <w:tblW w:w="0" w:type="auto"/>
        <w:jc w:val="center"/>
        <w:tblLook w:val="04A0" w:firstRow="1" w:lastRow="0" w:firstColumn="1" w:lastColumn="0" w:noHBand="0" w:noVBand="1"/>
      </w:tblPr>
      <w:tblGrid>
        <w:gridCol w:w="6464"/>
      </w:tblGrid>
      <w:tr w:rsidR="00D67E55" w14:paraId="458BCFFB" w14:textId="77777777">
        <w:trPr>
          <w:cantSplit/>
          <w:jc w:val="center"/>
          <w:tblHeader/>
        </w:trPr>
        <w:tc>
          <w:tcPr>
            <w:tcW w:w="6464" w:type="dxa"/>
            <w:shd w:val="clear" w:color="auto" w:fill="EEF3F8"/>
          </w:tcPr>
          <w:p w14:paraId="2038FE98" w14:textId="77777777" w:rsidR="00D67E55" w:rsidRDefault="00F266ED">
            <w:pPr>
              <w:keepNext/>
              <w:jc w:val="left"/>
            </w:pPr>
            <w:r>
              <w:rPr>
                <w:b/>
                <w:sz w:val="16"/>
              </w:rPr>
              <w:t>Die Term Sheet Project Estate vom 31.08.2024 betrachtete ausdrücklich die Übertragung von IP aus Österreich auf ein neues Unternehmen in den VAE/Dubai als wahrscheinliches Restrukturierungsszenario.Dieses Dokument bestätigt den geschäftlichen Kontext der Ausrichtung, ersetzt jedoch nicht die Genehmigung einer bestimmten Transaktion durch die Organe der Megainpharm GmbH.</w:t>
            </w:r>
            <w:r>
              <w:rPr>
                <w:b/>
                <w:sz w:val="16"/>
              </w:rPr>
              <w:br/>
            </w:r>
            <w:r>
              <w:rPr>
                <w:b/>
                <w:sz w:val="16"/>
              </w:rPr>
              <w:t/>
            </w:r>
          </w:p>
        </w:tc>
      </w:tr>
    </w:tbl>
    <w:p w14:paraId="1FB6A3F5" w14:textId="77777777" w:rsidR="00D67E55" w:rsidRDefault="00F266ED">
      <w:pPr>
        <w:pStyle w:val="NoIndent"/>
        <w:rPr>
          <w:rFonts w:hint="eastAsia"/>
        </w:rPr>
      </w:pPr>
      <w:r>
        <w:rPr>
          <w:rFonts w:ascii="Arial" w:hAnsi="Arial"/>
          <w:sz w:val="20"/>
        </w:rPr>
        <w:t>Die Gründung einer neuen Firma in den Vereinigten Arabischen Emiraten wurde später zu einer der emotionalsten Episoden, aber das Archiv zeigt jetzt, dass die Geschichte Dubais früher begann, als ich sie aus August-Dokumenten wiederhergestellt habe: Spätestens am 10. April 2024 habe ich bereits externe Patentanwälte gebeten, Dokumente für die Übertragung von Patenten und Marken von Megainpharm auf den UAE-Kreislauf vorzubereiten.</w:t>
      </w:r>
    </w:p>
    <w:p w14:paraId="3CBCA454" w14:textId="77777777" w:rsidR="00D67E55" w:rsidRDefault="00F266ED">
      <w:r>
        <w:t>Im April wurde WAZIFI Project Management Services als ein möglicher Träger der Struktur betrachtet, und ich habe festgestellt, dass ihre autorisierten Aktivitäten nicht für das IP-Projekt geeignet waren, das konzipiert wurde. Die Lizenz fand gelistete Civil Company und Project Management Services; der vorherige Anspruch auf eine Freizonenregelung wurde durch das Dokument nicht bestätigt; die rechtliche Eignung dieser Struktur für einen bestimmten IP-Betrieb sollte separat bewertet werden. Daher sollte dieses Unternehmen nicht nachträglich mit Innovexa verwechselt werden. Zuerst wird die Architektur des "Megainpharm - UAE-Fahrzeugs - Lizenzen an das operative Geschäft zurückvergeben", dann die Suche nach einem geeigneten Rechtsmittel und erst später - Innovexa.</w:t>
      </w:r>
    </w:p>
    <w:p w14:paraId="2BF8F871" w14:textId="77777777" w:rsidR="00D67E55" w:rsidRDefault="00F266ED">
      <w:r>
        <w:t>In denselben Wochen im April bat ich die Buchhaltungsabteilung zu verstehen, wie Patente und Marken registriert wurden und wie viel das Unternehmen in der Vergangenheit für deren Erstellung und Pflege ausgegeben hatte, und die Buchhaltungsabteilung erklärte, dass die Kosten durch die laufenden Kosten ohne einen separaten Objektbuchwert gingen, und wir begannen, die historische Kostenbasis wiederherzustellen, und selbst dann war es keine geheime September-Improvisation, sondern ein funktionierendes Rechts- und Buchhaltungsprojekt.</w:t>
      </w:r>
    </w:p>
    <w:p w14:paraId="095FDD4C" w14:textId="77777777" w:rsidR="00D67E55" w:rsidRDefault="00F266ED">
      <w:r>
        <w:t>Im Frühjahr kam es zu einem weiteren Wechsel: Ich war kein Geschäftsführer von Megainpharm, verließ das Unternehmen aber nicht – ich blieb Vollzeitangestellter und arbeitete weiter. Später beschrieben Dimitrios Papadopoulos, Michael Rebasso und Natalia Begusch vor Gericht unabhängig voneinander, dass der Wechsel des Direktors in erster Linie mit Bank- und Sanktionsproblemen zusammenhing und die eigentliche Rolle eine Weile bei mir blieb.</w:t>
      </w:r>
      <w:r>
        <w:lastRenderedPageBreak/>
        <w:t/>
      </w:r>
    </w:p>
    <w:p w14:paraId="3DB962B5" w14:textId="77777777" w:rsidR="00D67E55" w:rsidRDefault="00F266ED">
      <w:r>
        <w:t>Aber genau hier liegt auch meine rechtliche Verwundbarkeit: tatsächliche Führungsgewohnheiten und fortgesetzte Beschäftigungsverhältnisse sind kein Ersatz für Vollmacht und Unternehmenszustimmung. Damals fühlte ich, dass die Fortsetzung eines operativen Mandats natürlich war. Heute erkenne ich, dass je mehr formaler und sachlicher Status auseinandergehen, desto mehr Dokumente mussten erstellt werden, nicht weniger.</w:t>
      </w:r>
    </w:p>
    <w:p w14:paraId="0C0C9924" w14:textId="77777777" w:rsidR="00D67E55" w:rsidRDefault="00F266ED">
      <w:r>
        <w:t>Im August gründeten externe Berater am White Square das Unternehmen, und sie führten die üblichen KYC-Verfahren durch, und Wjatscheslaw Sidorow war an dem Prozess beteiligt, ihm wurden Dokumente geschickt, sein Aufenthaltsvisum wurde diskutiert, und ich sah es als praktische Arbeit, um die Zukunft des internationalen Kreises zu schaffen.</w:t>
      </w:r>
    </w:p>
    <w:p w14:paraId="5A5BB652" w14:textId="77777777" w:rsidR="00D67E55" w:rsidRDefault="00F266ED">
      <w:r>
        <w:t>Es ist wichtig, die defensive Erzählung hier nicht außer Kraft zu setzen, weil Sidorow über das Unternehmen Bescheid wusste und an seinem Design beteiligt war, bedeutet das nicht, dass er jeden zukünftigen Vertrag legal ausgehandelt hat, weil er wusste, dass die Struktur und die Genehmigung einer bestimmten Transaktion unterschiedliche Dinge sind, aber frühes Bewusstsein ist wichtig für eine andere Frage: War Innovexa selbst mein geheimes persönliches Projekt?</w:t>
      </w:r>
    </w:p>
    <w:p w14:paraId="0B6E4321" w14:textId="77777777" w:rsidR="00D67E55" w:rsidRDefault="00F266ED">
      <w:r>
        <w:t>Damals dachte ich nicht darüber nach, wie ich KYC in zwei Jahren erklären würde, aber ich tat die üblichen Dinge: die Institution, die Dokumente, die Banken, die Berater und im Familienunternehmen ist es ein häufiges Paradox, dass die Person, die die Arbeit macht, dann wie der Hauptinitiator aussieht, nur weil sein Name in der Korrespondenz am häufigsten ist.</w:t>
      </w:r>
    </w:p>
    <w:p w14:paraId="20120C93" w14:textId="77777777" w:rsidR="00D67E55" w:rsidRDefault="00F266ED">
      <w:r>
        <w:t>Wenn ich dorthin zurückgehen könnte, würde ich nach jeder wichtigen Phase einen kurzen Brief an alle Parteien richten: "Der Zweck der Struktur ist so und so; die wirtschaftliche Entscheidung wird von solchen Personen getroffen; weitere Maßnahmen erfordern so und so Genehmigungen." Fünf Zeilen. Vielleicht würden diese fünf Zeilen uns jahrelange Argumente ersparen.</w:t>
      </w:r>
    </w:p>
    <w:p w14:paraId="6F793718" w14:textId="77777777" w:rsidR="00D67E55" w:rsidRDefault="00F266ED">
      <w:pPr>
        <w:pStyle w:val="21"/>
        <w:pageBreakBefore/>
      </w:pPr>
      <w:r>
        <w:rPr>
          <w:rFonts w:ascii="Arial" w:hAnsi="Arial"/>
          <w:sz w:val="20"/>
        </w:rPr>
        <w:t>17. 17. August: Ein Gespräch, kein später gefundenes Dokument</w:t>
      </w:r>
    </w:p>
    <w:p w14:paraId="18438FCE" w14:textId="77777777" w:rsidR="00D67E55" w:rsidRDefault="00F266ED">
      <w:pPr>
        <w:pStyle w:val="NoIndent"/>
        <w:rPr>
          <w:rFonts w:hint="eastAsia"/>
        </w:rPr>
      </w:pPr>
      <w:r>
        <w:rPr>
          <w:rFonts w:ascii="Arial" w:hAnsi="Arial"/>
          <w:sz w:val="20"/>
        </w:rPr>
        <w:t>Es gibt ein Datum in der Rekonstruktion, auf das ich sehr oft zurückkomme: Der 17. August 2024, und ich persönlich ging zu Andrey Yuryevich und fragte ihn zweimal, ob er der Übertragung von IP an die Firma in Dubai zustimmte, und er sagte beide Male ja, und ich habe keine schriftliche Bestätigung dieses Gesprächs.</w:t>
      </w:r>
    </w:p>
    <w:p w14:paraId="72F07D84" w14:textId="77777777" w:rsidR="00D67E55" w:rsidRDefault="00F266ED">
      <w:r>
        <w:t>Dies ist ein gutes Beispiel dafür, warum aus Memoiren kein beweiskräftiger Trick gemacht werden sollte. Es gibt kein schriftliches Schlüsseldokument vom 17.08.2024. Die ehrliche Formulierung ist also, dass ich mich an zwei positive Antworten aus einem persönlichen Gespräch erinnere, aber die rechtliche Schlussfolgerung erfordert eine andere erste Bestätigung.</w:t>
      </w:r>
    </w:p>
    <w:p w14:paraId="0F0C2D30" w14:textId="77777777" w:rsidR="00D67E55" w:rsidRDefault="00F266ED">
      <w:r>
        <w:t>Das menschliche Gedächtnis mag geschlossene Konstruktionen. Ich erinnere mich an die Bedeutung des Gesprächs und das nachfolgende Verhalten von Menschen, aber es gibt keine schriftliche Aufzeichnung. Das forensische Gedächtnis sollte strenger sein: mündliche Zustimmung, Unternehmenszustimmung und die Autorität des Unterzeichners sind verschiedene Themen.</w:t>
      </w:r>
    </w:p>
    <w:p w14:paraId="612E4435" w14:textId="77777777" w:rsidR="00D67E55" w:rsidRDefault="00F266ED">
      <w:r>
        <w:t>Es mag für die Nachwelt wie eine Kleinigkeit erscheinen, aber es sind die kleinen Dinge, die die Zuverlässigkeit einer Geschichte aufbauen, und wenn Sie ein wichtiges Detail nicht beweisen können, verstärken Sie es nicht mit Adjektiven, schreiben Sie, woran Sie sich erinnern, und separat, was Sie nicht haben.</w:t>
      </w:r>
    </w:p>
    <w:p w14:paraId="46FB80D1" w14:textId="77777777" w:rsidR="00D67E55" w:rsidRDefault="00F266ED">
      <w:r>
        <w:t>Ich hoffe, dass es Briefe, Zeugen oder anderes primäres Material geben wird, das meinen Bericht vom 17. August und Anfang September überprüfen wird, und wenn es mein Gedächtnis bestätigt, wird es ein wichtiger Kontext werden, und wenn nicht, wird das Buch korrigiert werden müssen.</w:t>
      </w:r>
    </w:p>
    <w:tbl>
      <w:tblPr>
        <w:tblW w:w="0" w:type="auto"/>
        <w:jc w:val="center"/>
        <w:tblLook w:val="04A0" w:firstRow="1" w:lastRow="0" w:firstColumn="1" w:lastColumn="0" w:noHBand="0" w:noVBand="1"/>
      </w:tblPr>
      <w:tblGrid>
        <w:gridCol w:w="6464"/>
      </w:tblGrid>
      <w:tr w:rsidR="00D67E55" w14:paraId="715B9233" w14:textId="77777777">
        <w:trPr>
          <w:cantSplit/>
          <w:jc w:val="center"/>
          <w:tblHeader/>
        </w:trPr>
        <w:tc>
          <w:tcPr>
            <w:tcW w:w="6464" w:type="dxa"/>
            <w:shd w:val="clear" w:color="auto" w:fill="EEF3F8"/>
          </w:tcPr>
          <w:p w14:paraId="3989AA6B" w14:textId="77777777" w:rsidR="00D67E55" w:rsidRDefault="00F266ED">
            <w:pPr>
              <w:keepNext/>
              <w:jc w:val="left"/>
            </w:pPr>
            <w:r>
              <w:rPr>
                <w:b/>
                <w:sz w:val="16"/>
              </w:rPr>
              <w:t>Es gibt kein separates Dokument von Andrey Gorokhov vom 17.08.2024, hier ist meine Geschichte über die mündliche zweifache Zustimmung: Sie müssen das Gedächtnis, das nachfolgende Verhalten und die September-Korrespondenz überprüfen, ohne die Existenz einer verlorenen schriftlichen Genehmigung für eine bestimmte MIF-Innovexa-Transaktion anzunehmen.</w:t>
              <w:br/>
              <w:t/>
            </w:r>
          </w:p>
        </w:tc>
      </w:tr>
    </w:tbl>
    <w:p w14:paraId="6104ABBB" w14:textId="77777777" w:rsidR="00D67E55" w:rsidRDefault="00F266ED">
      <w:pPr>
        <w:pStyle w:val="21"/>
        <w:pageBreakBefore/>
      </w:pPr>
      <w:r>
        <w:rPr>
          <w:rFonts w:ascii="Arial" w:hAnsi="Arial"/>
          <w:sz w:val="20"/>
        </w:rPr>
        <w:lastRenderedPageBreak/>
        <w:t>18. 23. bis 31. August: Als das Projekt konkret wurde</w:t>
      </w:r>
    </w:p>
    <w:p w14:paraId="0B3D12DB" w14:textId="77777777" w:rsidR="00D67E55" w:rsidRDefault="00F266ED">
      <w:pPr>
        <w:pStyle w:val="NoIndent"/>
        <w:rPr>
          <w:rFonts w:hint="eastAsia"/>
        </w:rPr>
      </w:pPr>
      <w:r>
        <w:rPr>
          <w:rFonts w:ascii="Arial" w:hAnsi="Arial"/>
          <w:sz w:val="20"/>
        </w:rPr>
        <w:t>Das letzte August-Jahrzehnt war wichtig, weil die abstrakte Umstrukturierung zu einer Liste konkreter Maßnahmen wurde. Am 23. August verteilte Project Estate bereits eine Konsolidierungspräsentation, eine rechtliche Risikomatrix und eine Roadmap.</w:t>
      </w:r>
    </w:p>
    <w:p w14:paraId="410920F1" w14:textId="77777777" w:rsidR="00D67E55" w:rsidRDefault="00F266ED">
      <w:r>
        <w:t>Am 28. August wurde eine vollständige Liste des geistigen Eigentums von Megainpharm angefordert. Am 29. August schrieb ich an Anwälte über den geplanten weiteren Verkauf von geistigem Eigentum an ein neues Unternehmen in den Vereinigten Arabischen Emiraten. Am 30. August gab es eine IP-Datei, in der eine Vielzahl von Marken und anderen Rechten von Megainpharm zu sehen waren. Am 31. August war die Richtung von Term Sheet nach Dubai bereits in der Anlagelogik vorgeschrieben.</w:t>
      </w:r>
    </w:p>
    <w:p w14:paraId="16419F09" w14:textId="77777777" w:rsidR="00D67E55" w:rsidRDefault="00F266ED">
      <w:r>
        <w:t>Diese Sequenz ist für mich wichtiger als jeder einzelne Buchstabe. Sie zeigt den Prozess. Im realen Geschäft wird Absicht selten aus einem Vertrag geboren. Zuerst kommt die Architektur, dann die Liste der Vermögenswerte, dann der rechtliche Weg, dann die Bedingungen, dann die Dokumente.</w:t>
      </w:r>
    </w:p>
    <w:p w14:paraId="6E7EDBCE" w14:textId="77777777" w:rsidR="00D67E55" w:rsidRDefault="00F266ED">
      <w:r>
        <w:t>Aber das ist, wo die zweite Zeile der Geschichte begann, aufzuholen, und das Management von Megainpharm wurde immer akuter: Banken, Vollmacht, Direktor, die Fähigkeit, Anweisungen zu geben, administrative Details wurde eine Frage der Kontrolle über den Besitzer der wichtigsten IP.</w:t>
      </w:r>
    </w:p>
    <w:p w14:paraId="13C36F3D" w14:textId="77777777" w:rsidR="00D67E55" w:rsidRDefault="00F266ED">
      <w:r>
        <w:t>Und ich denke, um den 30. August herum kollidierten die beiden Geschichten schließlich, und davor konnte man über Umstrukturierung als Projekt sprechen, und danach wurde jede IP-Bewegung bereits als eine Frage wahrgenommen, wer Megainpharm kontrolliert und wer das Recht hat, über sein Schicksal zu entscheiden.</w:t>
      </w:r>
    </w:p>
    <w:p w14:paraId="4B8F454F" w14:textId="77777777" w:rsidR="00D67E55" w:rsidRDefault="00F266ED">
      <w:pPr>
        <w:spacing w:after="0" w:line="228" w:lineRule="auto"/>
      </w:pPr>
      <w:r>
        <w:t>Später wurde das Argument mit einem einzigen Pfeil erklärt: „IP verursachte Konflikte“ oder „Konflikt beschleunigter IP-Schutz“. Das Archiv lässt sich besser durch die gegenseitige Stärkung zweier Prozesse erklären: Der Streit um Governance machte IP sensibler und die Bewegung von IP erhöhte die Kosten des Kampfes um Kontrolle.</w:t>
      </w:r>
    </w:p>
    <w:p w14:paraId="5262D2D9" w14:textId="77777777" w:rsidR="00D67E55" w:rsidRDefault="00F266ED">
      <w:pPr>
        <w:pStyle w:val="21"/>
        <w:pageBreakBefore/>
      </w:pPr>
      <w:r>
        <w:rPr>
          <w:rFonts w:ascii="Arial" w:hAnsi="Arial"/>
          <w:sz w:val="20"/>
        </w:rPr>
        <w:lastRenderedPageBreak/>
        <w:t>19. Die Vereinbarung vom 26. August</w:t>
      </w:r>
    </w:p>
    <w:p w14:paraId="343F9EEE" w14:textId="77777777" w:rsidR="00D67E55" w:rsidRDefault="00F266ED">
      <w:pPr>
        <w:pStyle w:val="NoIndent"/>
        <w:rPr>
          <w:rFonts w:hint="eastAsia"/>
        </w:rPr>
      </w:pPr>
      <w:r>
        <w:rPr>
          <w:rFonts w:ascii="Arial" w:hAnsi="Arial"/>
          <w:sz w:val="20"/>
        </w:rPr>
        <w:t>Im Zentrum der zukünftigen Kontroverse steht die Vereinbarung zwischen Megainpharm und Innovexa vom 26. August 2024, die für mich einer der Punkte ist, an denen die menschliche und die rechtliche Version der Geschichte besonders stark voneinander abweichen.</w:t>
      </w:r>
    </w:p>
    <w:p w14:paraId="07C0F0F9" w14:textId="77777777" w:rsidR="00D67E55" w:rsidRDefault="00F266ED">
      <w:r>
        <w:t>In meinem Bild der Welt war der Vertrag Teil einer bereits in Bewegung befindlichen Umstrukturierung, und ich handelte in einem internationalen Kontext, und ich handelte auf der Grundlage der bestehenden Autorität und des Verständnisses der allgemeinen Richtung, aber damit ein Gericht das tun kann, reicht diese Erklärung nicht aus: Das Gericht braucht den Vertrag selbst, die Vollmacht zum genauen Zeitpunkt, die Megainpharm-Charta und die Unternehmensregeln, die Entscheidung der zuständigen Behörde, die Preisbedingungen und den Ausführungsnachweis.</w:t>
      </w:r>
    </w:p>
    <w:p w14:paraId="0FE93223" w14:textId="77777777" w:rsidR="00D67E55" w:rsidRDefault="00F266ED">
      <w:r>
        <w:t>Im August 2026 konnte das österreichische Verfahrensarchiv eine vollständige Kopie des Vertrags vom 26. August und des Zusatzvertrags vom 27. September zurückerhalten: Megainpharm ist der Verkäufer, Innovexa ist der Käufer; ich werde vom Vertreter von Megainpharm unter Bezugnahme auf die Vollmacht vom 8. Juli aufgeführt, Vyacheslav Sidorov ist ein Vertreter von Innovexa. Die Seiten der Kopie zeigen die Unterschriften und Siegel. Dies ist eine wichtige Änderung im Archiv: Jetzt geht es nicht um das, was im Vertrag geschrieben wurde, sondern um die Gültigkeit der Behörde, die Unternehmenszulassung und den Ursprung der Unterschriften.</w:t>
      </w:r>
      <w:r>
        <w:t/>
      </w:r>
    </w:p>
    <w:p w14:paraId="00352C9B" w14:textId="77777777" w:rsidR="00D67E55" w:rsidRDefault="00F266ED">
      <w:r>
        <w:t>Das bloße Erscheinen einer Verfahrenskopie macht ein strittiges Dokument nicht unbestreitbar. Wenn eine Unterschrift auf einer Vollmacht angefochten wird, müssen Sie das Original und den Ursprung der Datei überprüfen. Aber für das Gedächtnis ist es grundlegend anders: Ich muss den Vertrag nicht mehr aus dem Gedächtnis nacherzählen - der Text kann jetzt gelesen und mit anderen Dokumenten verglichen werden.</w:t>
      </w:r>
    </w:p>
    <w:p w14:paraId="12FCD927" w14:textId="77777777" w:rsidR="00D67E55" w:rsidRDefault="00F266ED">
      <w:r>
        <w:t>Ich brauche dieses Kapitel nicht, um zu sagen: "Ich habe das Richtige getan", es ist eine der schmerzhaftesten Lektionen meiner Karriere zu artikulieren: Ein Künstler, der sich einem gemeinsamen Mandat sicher ist, muss immer noch die formale Frage stellen: "Wer genau unterstützt diesen bestimmten Deal rechtlich?" Nicht, weil er den Eigentümern nicht vertraut, denn in zwei Jahren werden das Gesamtmandat und die spezifische Genehmigung separat untersucht.</w:t>
      </w:r>
    </w:p>
    <w:p w14:paraId="09237268" w14:textId="77777777" w:rsidR="00D67E55" w:rsidRDefault="00F266ED">
      <w:r>
        <w:lastRenderedPageBreak/>
        <w:t>Zu lange habe ich den Unternehmenswillen einer Gruppe als ein einziges Phänomen gesehen. Internationales Gesellschaftsrecht funktioniert nicht so. Megainpharm war ein eigenes österreichisches Unternehmen. Selbst starke Unterstützung auf Gruppenebene, sogar die wirtschaftliche Mehrheit, sogar offensichtliche strategische Logik, sollten die interne Entscheidung des Unternehmens selbst nicht ersetzen.</w:t>
      </w:r>
    </w:p>
    <w:p w14:paraId="2FE8BB55" w14:textId="77777777" w:rsidR="00D67E55" w:rsidRDefault="00F266ED">
      <w:r>
        <w:t>Später las ich die MIF-Charta genauer, und sie hat keine separate Liste aller Entscheidungen, die von der Hauptversammlung ausgenommen sind. Das derzeitige Management ist für den Geschäftsführer, aber die Berichterstattung und Verteilung der Gewinne, die Änderungen im Vertrag, die Aktien und der Liquidationskreislauf haben spezielle Regeln für die Teilnehmer, so dass ich separat nicht nur fragen musste "Gibt es eine allgemeine Vereinbarung", sondern "welches MIF-Gremium sollte diesen IP-Schritt genehmigen."</w:t>
      </w:r>
    </w:p>
    <w:p w14:paraId="0E6776B8" w14:textId="77777777" w:rsidR="00D67E55" w:rsidRDefault="00F266ED">
      <w:pPr>
        <w:pStyle w:val="21"/>
        <w:pageBreakBefore/>
      </w:pPr>
      <w:r>
        <w:rPr>
          <w:rFonts w:ascii="Arial" w:hAnsi="Arial"/>
          <w:sz w:val="20"/>
        </w:rPr>
        <w:lastRenderedPageBreak/>
        <w:t>20. Der wirtschaftliche Rahmen der Transaktion</w:t>
      </w:r>
    </w:p>
    <w:tbl>
      <w:tblPr>
        <w:tblW w:w="0" w:type="auto"/>
        <w:jc w:val="center"/>
        <w:tblLook w:val="04A0" w:firstRow="1" w:lastRow="0" w:firstColumn="1" w:lastColumn="0" w:noHBand="0" w:noVBand="1"/>
      </w:tblPr>
      <w:tblGrid>
        <w:gridCol w:w="6464"/>
      </w:tblGrid>
      <w:tr w:rsidR="00D67E55" w14:paraId="2C89C5B5" w14:textId="77777777">
        <w:trPr>
          <w:cantSplit/>
          <w:jc w:val="center"/>
          <w:tblHeader/>
        </w:trPr>
        <w:tc>
          <w:tcPr>
            <w:tcW w:w="6464" w:type="dxa"/>
            <w:shd w:val="clear" w:color="auto" w:fill="EEF3F8"/>
          </w:tcPr>
          <w:p w14:paraId="3242176F" w14:textId="77777777" w:rsidR="00D67E55" w:rsidRDefault="00F266ED">
            <w:pPr>
              <w:keepNext/>
              <w:jc w:val="left"/>
            </w:pPr>
            <w:r>
              <w:rPr>
                <w:b/>
                <w:sz w:val="16"/>
              </w:rPr>
              <w:t>Die vollständige MIF-Innovexa-Vereinbarung vom 26.08.2024, die derzeitige Vollmacht von Evgeny Gorokhov, Unternehmensgenehmigungen, Bewertung und Zahlungspfad sind die vorrangigen Dokumente für die endgültige Rekonstruktion.</w:t>
            </w:r>
            <w:r>
              <w:rPr>
                <w:b/>
                <w:sz w:val="16"/>
              </w:rPr>
              <w:br/>
              <w:t/>
            </w:r>
          </w:p>
        </w:tc>
      </w:tr>
    </w:tbl>
    <w:p w14:paraId="3C727610" w14:textId="77777777" w:rsidR="00D67E55" w:rsidRDefault="00F266ED">
      <w:pPr>
        <w:pStyle w:val="NoIndent"/>
        <w:rPr>
          <w:rFonts w:hint="eastAsia"/>
        </w:rPr>
      </w:pPr>
      <w:r>
        <w:rPr>
          <w:rFonts w:ascii="Arial" w:hAnsi="Arial"/>
          <w:sz w:val="20"/>
        </w:rPr>
        <w:t>Im Mittelpunkt des Streits stand die Vereinbarung zwischen Megainpharm und Innovexa vom 26. August 2024, in der später eine andere Arbeitsformulierung der kommerziellen Begriffe diskutiert wurde, und ich gebe hier nicht die Summen an: Wichtiger für meine Geschichte ist, dass die signierte Kette und die anschließende Arbeitskorrespondenz gleichzeitig existierten und durch Daten, IP-Perimeter und Ausführungsordnung übereinstimmen müssen.</w:t>
      </w:r>
    </w:p>
    <w:p w14:paraId="0E281E54" w14:textId="77777777" w:rsidR="00D67E55" w:rsidRDefault="00F266ED">
      <w:r>
        <w:t>Die wirtschaftliche Logik des Projekts bestand meiner Erinnerung nach darin, historische Patent- und Markenkosten, die Abrechnung von Lizenzgebühren und die steuereffiziente Migration in eine freundliche Gerichtsbarkeit zurückzuerhalten. Die Buchhaltungskorrespondenz bestätigt, dass eine solche Kostenrekonstruktion tatsächlich stattgefunden hat, was die Geschäftsgrundsätze erklärt, aber nicht die Bewertung, die Genehmigung durch Unternehmen und den Nachweis der Verpflichtung ersetzt.</w:t>
      </w:r>
    </w:p>
    <w:p w14:paraId="3420402D" w14:textId="77777777" w:rsidR="00D67E55" w:rsidRDefault="00F266ED">
      <w:r>
        <w:t>Ich wollte, dass die Transaktion dokumentiert und erstattungsfähig ist, keine symbolische Rücknahme eines Vermögenswertes, aber das Vorhandensein von Vertragsbedingungen allein beantwortet nicht Fragen der Marktfähigkeit und der tatsächlichen Leistung: Es erfordert Bewertung, Rechnungen, Bankbewegungen und Buchhaltungsfußabdruck.</w:t>
      </w:r>
    </w:p>
    <w:p w14:paraId="544AD903" w14:textId="77777777" w:rsidR="00D67E55" w:rsidRDefault="00F266ED">
      <w:r>
        <w:t>Heute lasse ich zwei verschiedene Dinge im Archiv: den dokumentierten Umriss der Transaktion und die offenen Fragen nach Autorität, Unternehmensentscheidung, Bewertung und Zahlungspfad. Sie können keine wirtschaftliche Erklärung als Ersatz für rechtliche Verfahren verwenden.</w:t>
      </w:r>
    </w:p>
    <w:p w14:paraId="567419B0" w14:textId="77777777" w:rsidR="00D67E55" w:rsidRDefault="00F266ED">
      <w:pPr>
        <w:pStyle w:val="NoIndent"/>
        <w:rPr>
          <w:rFonts w:hint="eastAsia"/>
        </w:rPr>
      </w:pPr>
      <w:r>
        <w:rPr>
          <w:rFonts w:ascii="Arial" w:hAnsi="Arial"/>
          <w:sz w:val="20"/>
        </w:rPr>
        <w:t>Für einen Anwalt ist dies immer noch eine rote Flagge, aber jetzt muss es genau formuliert werden: welche Version der Bedingungen unterzeichnet wurde, die später besprochen wurde, ob sich der Umfang geändert hat und welche Dokumente den Übergang und die Ausführung bestätigen.</w:t>
      </w:r>
    </w:p>
    <w:p w14:paraId="3F0A475C" w14:textId="77777777" w:rsidR="00D67E55" w:rsidRDefault="00F266ED">
      <w:r>
        <w:t>Das Zusatzabkommen vom 27. September muss zusammen mit der Hauptkette, den Anhängen und den Beweisen für die Ausführung gelesen werden, und die bloße Existenz mehrerer Revisionen beweist weder Bosheit noch das Fehlen einer echten Umstrukturierung.</w:t>
      </w:r>
      <w:r>
        <w:lastRenderedPageBreak/>
        <w:t/>
      </w:r>
    </w:p>
    <w:p w14:paraId="086066C6" w14:textId="77777777" w:rsidR="00D67E55" w:rsidRDefault="00F266ED">
      <w:r>
        <w:t>Diese Episode hat mich gelehrt, dass, wenn eine größere Transaktion geändert wird, nicht nur das neue Dokument beibehalten werden muss, sondern auch die Erklärung der Änderung: Datum, Umfang, Ursache, zuständige Behörde und Genehmigungsweg.</w:t>
      </w:r>
    </w:p>
    <w:p w14:paraId="75535EF1" w14:textId="77777777" w:rsidR="00D67E55" w:rsidRDefault="00F266ED">
      <w:r>
        <w:t>Eine kurze Notiz darüber, warum der neue Newsroom kam, war vielleicht wichtiger als Dutzende von E-Mails, und im Familienunternehmen haben wir uns zu oft auf den allgemeinen Kontext verlassen und zu wenig formelle Übergänge aufgezeichnet.</w:t>
      </w:r>
    </w:p>
    <w:p w14:paraId="1A6E396A" w14:textId="77777777" w:rsidR="00D67E55" w:rsidRDefault="00F266ED">
      <w:r>
        <w:t>Für zukünftige Leser ist die Regel einfach: Mischen Sie nicht Geschäftsgrundsätze, Exekutivautorität und Unternehmensentscheidungen. Das sind drei verschiedene Beweisblöcke.</w:t>
      </w:r>
    </w:p>
    <w:p w14:paraId="119D66B6" w14:textId="77777777" w:rsidR="00D67E55" w:rsidRDefault="00F266ED">
      <w:pPr>
        <w:pStyle w:val="21"/>
        <w:pageBreakBefore/>
      </w:pPr>
      <w:r>
        <w:rPr>
          <w:rFonts w:ascii="Arial" w:hAnsi="Arial"/>
          <w:sz w:val="20"/>
        </w:rPr>
        <w:lastRenderedPageBreak/>
        <w:t>21. 68 Prozent und die Gefahr einer verlockenden Zahl</w:t>
      </w:r>
    </w:p>
    <w:p w14:paraId="5E7A075E" w14:textId="77777777" w:rsidR="00D67E55" w:rsidRDefault="00F266ED">
      <w:pPr>
        <w:pStyle w:val="NoIndent"/>
        <w:rPr>
          <w:rFonts w:hint="eastAsia"/>
        </w:rPr>
      </w:pPr>
      <w:r>
        <w:rPr>
          <w:rFonts w:ascii="Arial" w:hAnsi="Arial"/>
          <w:sz w:val="20"/>
        </w:rPr>
        <w:t>In unserer Analyse haben wir eine Zahl von 68 Prozent, die sich auf den Umriss von Kirpenko und Sidorow bezieht, der psychologisch sehr attraktiv ist: Die Mehrheit scheint, wenn die Mehrheit die Richtung der Umstrukturierung unterstützt, die Frage ist geschlossen.</w:t>
      </w:r>
    </w:p>
    <w:p w14:paraId="0A798448" w14:textId="77777777" w:rsidR="00D67E55" w:rsidRDefault="00F266ED">
      <w:r>
        <w:t>Aber da muss der Anwalt den Erzähler stoppen. Eine Unternehmensgruppe ist keine juristische Person. Wirtschaftliche Unterstützung, Repräsentationsgewicht oder Gesamtinteresse auf Gruppenebene sind nicht identisch mit Stimmen bei der Megainpharm GmbH. Auch wenn 68 Prozent durch Primärdokumente vollständig bestätigt werden, sind sie vor allem für die Frage wichtig, ob die Strategie eine isolierte Initiative einer Person war.</w:t>
      </w:r>
    </w:p>
    <w:p w14:paraId="72D47D8B" w14:textId="77777777" w:rsidR="00D67E55" w:rsidRDefault="00F266ED">
      <w:r>
        <w:t>Weitere Dokumente sind für die Unternehmensgenehmigung erforderlich: Wer war zu einem bestimmten Zeitpunkt Mitglied von Megainpharm, welche Stimmrechte bestanden, welche Stelle hätte die Transaktion genehmigen sollen und ob sie durchgeführt wurde.</w:t>
      </w:r>
    </w:p>
    <w:p w14:paraId="5CE130F6" w14:textId="77777777" w:rsidR="00D67E55" w:rsidRDefault="00F266ED">
      <w:r>
        <w:t>Und ich werde nicht nur intellektuell mit diesem Unterschied konfrontiert, er widerspricht der Gewohnheit des Familienunternehmens, in wirtschaftlichen Begriffen über die ganze "gemeinsame Sache" zu denken, sondern nach dem Konflikt bin ich zu dem Schluss gekommen, dass eine schöne Figur nicht gezwungen werden kann, eine Frage zu beantworten, für die sie nicht gedacht ist.</w:t>
      </w:r>
    </w:p>
    <w:p w14:paraId="462023C2" w14:textId="77777777" w:rsidR="00D67E55" w:rsidRDefault="00F266ED">
      <w:r>
        <w:t>Wenn 68 Prozent eine gemeinsame Architektur unterstützen, ist das ein starker Kontext. Wenn 68 Prozent einen bestimmten Megainpharm-Vertrag legal genehmigt haben, ist das eine weitere Aussage und erfordert einen separaten Beweis. Ich möchte sicherstellen, dass diese beiden Sätze im Familienarchiv nie wieder durcheinander gebracht werden.</w:t>
      </w:r>
    </w:p>
    <w:p w14:paraId="5A08B3E0" w14:textId="77777777" w:rsidR="00D67E55" w:rsidRDefault="00F266ED">
      <w:pPr>
        <w:pStyle w:val="21"/>
        <w:pageBreakBefore/>
      </w:pPr>
      <w:r>
        <w:rPr>
          <w:rFonts w:ascii="Arial" w:hAnsi="Arial"/>
          <w:sz w:val="20"/>
        </w:rPr>
        <w:lastRenderedPageBreak/>
        <w:t>22. September: Als die Korrespondenz zum Beweis wurde</w:t>
      </w:r>
    </w:p>
    <w:p w14:paraId="1AE96F85" w14:textId="77777777" w:rsidR="00D67E55" w:rsidRDefault="00F266ED">
      <w:pPr>
        <w:pStyle w:val="NoIndent"/>
        <w:rPr>
          <w:rFonts w:hint="eastAsia"/>
        </w:rPr>
      </w:pPr>
      <w:r>
        <w:rPr>
          <w:rFonts w:ascii="Arial" w:hAnsi="Arial"/>
          <w:sz w:val="20"/>
        </w:rPr>
        <w:t>Anfang September änderte sich die Atmosphäre der Kommunikation: Was früher eine Führungsstreitigkeit war, wurde zu einem rechtlichen Kompetenzkonflikt; neue Vollmachten, Geschäftsführerfragen, Bankanweisungen, Korrespondenz externer Anwälte, all dies war kein technischer Hintergrund mehr.</w:t>
      </w:r>
    </w:p>
    <w:p w14:paraId="0867FE50" w14:textId="77777777" w:rsidR="00D67E55" w:rsidRDefault="00F266ED">
      <w:r>
        <w:t>Am 5. und 6. September war die Kontroverse um Megainpharm bereits offen, und am 9. September ging es an eine breitere Palette von Aktionären und Führungskräften, die gebeten wurden, sich zu treffen, Erklärungen verlangten, nach Anmeldeinformationen fragten, und allmählich war das, was die informelle Kultur am schnellsten tötet, die Rechtsstreitigkeiten Denkweise, und jeder Brief wird nicht nur an den Adressaten geschrieben, sondern an den zukünftigen Richter.</w:t>
      </w:r>
    </w:p>
    <w:p w14:paraId="1893F0FF" w14:textId="77777777" w:rsidR="00D67E55" w:rsidRDefault="00F266ED">
      <w:r>
        <w:t>Ich selbst habe diesen Modus betreten und bin selbstbewusster geworden, selbstbewusster, sensibler für das Versenden von Dokumenten, reaktionsschneller für eine meiner Meinung nach gefährliche Handlung, und im Konflikt, je mehr Sie denken, dass Sie schriftlich richtig sind, desto sicherer sind Sie, und manchmal erhöht es Ihren persönlichen Fußabdruck und schafft neue Streitpunkte.</w:t>
      </w:r>
    </w:p>
    <w:p w14:paraId="7E91275F" w14:textId="77777777" w:rsidR="00D67E55" w:rsidRDefault="00F266ED">
      <w:r>
        <w:t>Mitte September gab es immer noch Bemühungen, Menschen zusammenzubringen und die Dinge wieder zusammenzubringen, was ich jetzt als eine der letzten Möglichkeiten sehe, die Eskalation zu stoppen, aber Ende des Monats gab es ein direktes Gespräch innerhalb des Unternehmens über Unternehmenskonflikte, und Megainpharms Probleme beeinflussten normale Bankprozesse.</w:t>
      </w:r>
    </w:p>
    <w:p w14:paraId="21A06552" w14:textId="77777777" w:rsidR="00D67E55" w:rsidRDefault="00F266ED">
      <w:pPr>
        <w:spacing w:after="0" w:line="228" w:lineRule="auto"/>
      </w:pPr>
      <w:r>
        <w:t>Ich erinnere mich an das Gefühl, wenn eine Organisation noch in Betrieb zu sein scheint, aber ihre Management-Zukunft sich bereits von der operativen Gegenwart getrennt hat. Die Produktion ist im Gange. Die Leute bekommen Aufgaben. Aber an der Spitze ist niemand sicher, wer das letzte Wort hat. So sieht ein Verlust an Beherrschbarkeit aus: Eine Ordnung kann als der richtige Teil des Systems und der falsche als ein anderer betrachtet werden.</w:t>
      </w:r>
    </w:p>
    <w:p w14:paraId="215BAD5E" w14:textId="77777777" w:rsidR="00D67E55" w:rsidRDefault="00F266ED">
      <w:pPr>
        <w:pStyle w:val="21"/>
        <w:pageBreakBefore/>
      </w:pPr>
      <w:r>
        <w:rPr>
          <w:rFonts w:ascii="Arial" w:hAnsi="Arial"/>
          <w:sz w:val="20"/>
        </w:rPr>
        <w:lastRenderedPageBreak/>
        <w:t>23. Dmitry und die unsichtbare Macht</w:t>
      </w:r>
    </w:p>
    <w:p w14:paraId="5516B9ED" w14:textId="77777777" w:rsidR="00D67E55" w:rsidRDefault="00F266ED">
      <w:pPr>
        <w:pStyle w:val="NoIndent"/>
        <w:spacing w:line="240" w:lineRule="auto" w:before="0" w:after="0"/>
        <w:rPr>
          <w:rFonts w:hint="eastAsia"/>
        </w:rPr>
      </w:pPr>
      <w:r>
        <w:rPr>
          <w:rFonts w:ascii="Arial" w:hAnsi="Arial"/>
          <w:sz w:val="20"/>
        </w:rPr>
        <w:t>Es fällt mir schwer, dieses Kapitel fair und fair zu schreiben. Dmitri nahm einen wichtigen Platz in der Finanz- und Informationskontur ein. Im Laufe der Zeit wurde ich davon überzeugt, dass sein tatsächlicher Einfluss auf eine Reihe von Teilnehmern und Entscheidungen größer war, als aus formalen Positionen zu verstehen war. Ich entwickelte auch eine spezifischere Version: Dmitri war wütend über den Ausschluss aus den Cashflows der Infamed Group und initiierte und finanzierte teilweise den Coup im April-August-Oktober 2024. Ich belasse dies als meine Einschätzung [U/H], nicht als eine etablierte Tatsache.</w:t>
      </w:r>
      <w:r>
        <w:rPr>
          <w:rFonts w:ascii="Arial" w:hAnsi="Arial"/>
          <w:sz w:val="20"/>
        </w:rPr>
        <w:t/>
      </w:r>
    </w:p>
    <w:p w14:paraId="63E79D93" w14:textId="77777777" w:rsidR="00D67E55" w:rsidRDefault="00F266ED">
      <w:pPr>
        <w:spacing w:line="240" w:lineRule="auto" w:before="0" w:after="0"/>
      </w:pPr>
      <w:r>
        <w:t>Dokumente bestätigen einige Elemente dieses Bildes. Er erscheint in der Geschäftsführung von Megainpharm. Später, im April 2025, ereignete sich eine Episode, als er von mir Zinsen und einen Teil der Rückzahlung für Währungsbeziehungen erhielt, von denen ich dachte, dass sie mit Andrey Yuryevich zusammenhängen. Für mich war dies ein Beweis für seine praktische Rolle als Finanzintermediär. Nach Papadopoulos 'Aussage über das Ausscheiden versuchte Dmitry meiner Meinung nach, den Ehemann von Svistovs Tochter VV zu setzen. Ich betrachte dies als ein zusätzliches Zeichen für den allgemeinen Überblick über die Kontrolle. Quelle und Mechanismus sollten separat überprüft werden.</w:t>
      </w:r>
      <w:r>
        <w:t/>
      </w:r>
    </w:p>
    <w:p w14:paraId="4795007F" w14:textId="77777777" w:rsidR="00D67E55" w:rsidRDefault="00F266ED">
      <w:pPr>
        <w:spacing w:line="240" w:lineRule="auto" w:before="0" w:after="0"/>
      </w:pPr>
      <w:r>
        <w:t>Aber ich verwandle dieses Aggregat nicht bewusst in "Dmitri kontrollierte alle", was eine zu große Schlussfolgerung im Vergleich zu den Beweisen ist, und die tatsächlichen Auswirkungen können angenommen werden, aber für jede Entscheidung muss man den Mechanismus zeigen: Kontakt, Positionswechsel, Entscheidung, wirtschaftliches Ergebnis.</w:t>
      </w:r>
    </w:p>
    <w:p w14:paraId="3A40D7C9" w14:textId="77777777" w:rsidR="00D67E55" w:rsidRDefault="00F266ED">
      <w:pPr>
        <w:spacing w:line="240" w:lineRule="auto" w:before="0" w:after="0"/>
      </w:pPr>
      <w:r>
        <w:t>Das ist besonders wichtig für Anton. Ich denke, dass Dmitry ihn beeinflusst hat. Aber es gibt keine einfache Kette von "Dmitri bestellt - Anton hat" in der Gmail-Korrespondenz studiert. Im Gegenteil, im Frühjahr 2025 sieht Anton aus wie ein aktiver unabhängiger Verhandlungsführer, also sind meine persönliche Einschätzung des Einflusses und der bewiesene Einflussmechanismus unterschiedliche Ebenen.</w:t>
      </w:r>
    </w:p>
    <w:p w14:paraId="64A31714" w14:textId="77777777" w:rsidR="00D67E55" w:rsidRDefault="00F266ED">
      <w:pPr>
        <w:spacing w:line="240" w:lineRule="auto" w:before="0" w:after="0"/>
      </w:pPr>
      <w:r>
        <w:t>Ich möchte, dass die Nachwelt diese Disziplin lernt, bevor ich das tue: Beschreibe Macht nicht in psychologischen Begriffen, wenn du sie in Kanälen beschreiben kannst. Wer hat Zugang zu Geld? Wer bekommt die Informationen zuerst? Wer kann den Besitzer kontaktieren? Wer spricht mit der Bank? Wer kann die Zahlung stoppen? Hier ist die wahre Machtkarte.</w:t>
      </w:r>
      <w:r>
        <w:lastRenderedPageBreak/>
        <w:t/>
      </w:r>
    </w:p>
    <w:p w14:paraId="5FB94B08" w14:textId="77777777" w:rsidR="00D67E55" w:rsidRDefault="00F266ED">
      <w:pPr>
        <w:pStyle w:val="21"/>
        <w:pageBreakBefore/>
      </w:pPr>
      <w:r>
        <w:rPr>
          <w:rFonts w:ascii="Arial" w:hAnsi="Arial"/>
          <w:sz w:val="20"/>
        </w:rPr>
        <w:lastRenderedPageBreak/>
        <w:t>24. Letzte Versuche eines gemeinsamen Gesprächs</w:t>
      </w:r>
    </w:p>
    <w:p w14:paraId="628059E8" w14:textId="77777777" w:rsidR="00D67E55" w:rsidRDefault="00F266ED">
      <w:pPr>
        <w:pStyle w:val="NoIndent"/>
        <w:rPr>
          <w:rFonts w:hint="eastAsia"/>
        </w:rPr>
      </w:pPr>
      <w:r>
        <w:rPr>
          <w:rFonts w:ascii="Arial" w:hAnsi="Arial"/>
          <w:sz w:val="20"/>
        </w:rPr>
        <w:t>In jedem großen Streit gibt es einen Moment, der leicht zu romantisieren ist: "Wenn wir uns gerade an den Tisch gesetzt hätten", in der Tat, als die Leute offiziell ein Treffen vorgeschlagen haben, ist ein einfaches Gespräch oft lange nicht mehr einfach.</w:t>
      </w:r>
    </w:p>
    <w:p w14:paraId="7105F79D" w14:textId="77777777" w:rsidR="00D67E55" w:rsidRDefault="00F266ED">
      <w:r>
        <w:t>Im September gab es Versuche, ein Treffen der Teilnehmer zu organisieren, und Oksana Kirpenko und Adolina Rudko versuchten in getrennten Briefen, die Diskussion von einer emotionalen Ebene in eine inhaltliche Diskussion zu verschieben, die Leute versuchten, das Datum zu bestimmen, Aktionäre zu sammeln, Positionen zu hören, was wichtig ist, sich zu erinnern, weil die spätere Geschichte des Konflikts leicht jeden in unveränderliche Lager teilt. In Wirklichkeit wurden Positionen allmählich gebildet.</w:t>
      </w:r>
    </w:p>
    <w:p w14:paraId="0CF9362D" w14:textId="77777777" w:rsidR="00D67E55" w:rsidRDefault="00F266ED">
      <w:r>
        <w:t>Nun, ich hätte wahrscheinlich selbst etwas anderes sagen können, und wenn Sie sicher sind, dass Sie einen Vermögenswert schützen, ist es sehr schwer zu hören, dass Ihr "Schutz" für die andere Person wie ein Kontrollverlust aussieht, und wenn Sie die Handlungen von jemandem als Machtübernahme sehen, ist es schwer anzunehmen, dass die andere Person denkt, dass sie der Wiederhersteller der richtigen Ordnung ist.</w:t>
      </w:r>
    </w:p>
    <w:p w14:paraId="4FA024CD" w14:textId="77777777" w:rsidR="00D67E55" w:rsidRDefault="00F266ED">
      <w:r>
        <w:t>Unternehmenskonflikte werden nicht irreversibel, wenn es einen Interessenunterschied gibt; sie werden irreversibel, wenn die Parteien aufhören zu glauben, dass die andere Partei in gutem Glauben handeln kann; danach erhält jede neutrale Aktion eine feindliche Interpretation.</w:t>
      </w:r>
    </w:p>
    <w:p w14:paraId="4DB0BF1D" w14:textId="77777777" w:rsidR="00D67E55" w:rsidRDefault="00F266ED">
      <w:r>
        <w:t>Wenn ich heute einen Gedanken an den September 2024 stellen könnte, dann wäre es dieser: Vor dem Justizkrieg brauchen wir einen unabhängigen Vermittler und eine Einfrierungsfrist; zwei Wochen lang stoppen wir große Geschäfte, den Autoritätswechsel, die Übertragung von Vermögenswerten und gegenseitige Anschuldigungen; fixieren den Status quo; dann diskutieren wir Eigentum, Management und IP separat.</w:t>
      </w:r>
    </w:p>
    <w:p w14:paraId="10A091EE" w14:textId="77777777" w:rsidR="00D67E55" w:rsidRDefault="00F266ED">
      <w:pPr>
        <w:pStyle w:val="21"/>
        <w:pageBreakBefore/>
      </w:pPr>
      <w:r>
        <w:rPr>
          <w:rFonts w:ascii="Arial" w:hAnsi="Arial"/>
          <w:sz w:val="20"/>
        </w:rPr>
        <w:lastRenderedPageBreak/>
        <w:t>25. Ein Ausscheiden, das nicht an einem Tag vollzogen wird</w:t>
      </w:r>
    </w:p>
    <w:p w14:paraId="7B0B1B7E" w14:textId="77777777" w:rsidR="00D67E55" w:rsidRDefault="00F266ED">
      <w:pPr>
        <w:pStyle w:val="NoIndent"/>
        <w:spacing w:line="240" w:lineRule="auto" w:before="0" w:after="0"/>
        <w:rPr>
          <w:rFonts w:hint="eastAsia"/>
        </w:rPr>
      </w:pPr>
      <w:r>
        <w:rPr>
          <w:rFonts w:ascii="Arial" w:hAnsi="Arial"/>
          <w:sz w:val="20"/>
        </w:rPr>
        <w:t>Ich sehe das besonders deutlich in der Geschichte von Megainpharm. Die Änderung des Firmenbucheintrags im Frühjahr 2024 bedeutete nicht, dass ich am nächsten Tag aufhörte, Briefe zu beantworten, mit Anwälten, Buchhaltung und Banken zu arbeiten, oder mein gesamtes tatsächliches Mandat verlor. Ich blieb Angestellter. Dimitrios wurde formell Geschäftsführer, um das Bankproblem in vielerlei Hinsicht zu lösen, und sagte später selbst dem Gericht, dass ich hätte tun sollen, was ich sagte.</w:t>
      </w:r>
    </w:p>
    <w:p w14:paraId="742AAE47" w14:textId="77777777" w:rsidR="00D67E55" w:rsidRDefault="00F266ED">
      <w:pPr>
        <w:spacing w:line="240" w:lineRule="auto" w:before="0" w:after="0"/>
      </w:pPr>
      <w:r>
        <w:t>Aber die tatsächliche Nachfolge ist keine Nachsicht. Es erklärt, warum ich weitermachte, aber es beseitigt nicht die Frage, für welche spezifische Autorität ich jedes Dokument unterschrieben habe. Familienunternehmen leben oft nach dem Prinzip "wir alle verstehen." Das Gericht lebt nach dem Prinzip "zeigen Sie die Grundlage." Zwischen diesen beiden Welten entstand ein Großteil unserer Schwierigkeiten.</w:t>
      </w:r>
    </w:p>
    <w:p w14:paraId="246CBD3A" w14:textId="77777777" w:rsidR="00D67E55" w:rsidRDefault="00F266ED">
      <w:pPr>
        <w:pStyle w:val="NoIndent"/>
        <w:spacing w:line="240" w:lineRule="auto" w:before="0" w:after="0"/>
        <w:rPr>
          <w:rFonts w:hint="eastAsia"/>
        </w:rPr>
      </w:pPr>
      <w:r>
        <w:rPr>
          <w:rFonts w:ascii="Arial" w:hAnsi="Arial"/>
          <w:sz w:val="20"/>
        </w:rPr>
        <w:t>Später enthielten die Dokumente Daten, die als meine Ausstiegspunkte beschrieben wurden: 4. November 2024, außerhalb des russischen Stromkreises, und 27. Jänner 2025, von Megainpharm. Jede rechtliche Rekonstruktion, solche Daten sind bequem. Das Leben war komplizierter.</w:t>
      </w:r>
    </w:p>
    <w:p w14:paraId="7AA40F0B" w14:textId="77777777" w:rsidR="00D67E55" w:rsidRDefault="00F266ED">
      <w:pPr>
        <w:spacing w:line="240" w:lineRule="auto" w:before="0" w:after="0"/>
      </w:pPr>
      <w:r>
        <w:t>Selbst nach der formellen Änderung des Status gab es Korrespondenz, alte Aufgaben, rechtliche Probleme, Leute, die mich aus Gewohnheit texteten, das Verlassen eines großen Systems sieht nicht wie ein Schalter aus, besonders wenn Sie seit Jahren mit internationalen und IP-Problemen beschäftigt sind.</w:t>
      </w:r>
    </w:p>
    <w:p w14:paraId="02E202F3" w14:textId="77777777" w:rsidR="00D67E55" w:rsidRDefault="00F266ED">
      <w:pPr>
        <w:spacing w:line="240" w:lineRule="auto" w:before="0" w:after="0"/>
      </w:pPr>
      <w:r>
        <w:t>Dies schafft eine gefährliche Mehrdeutigkeit: Die Person kontrolliert das Unternehmen nicht mehr, sondern beantwortet weiterhin Fragen, die formale Autorität hat abgenommen, und der Dokumentationspfad wächst immer noch, und später kann jeder Brief nach dem "Veröffentlichungsdatum" als Beweis für eine fortgesetzte Kontrolle interpretiert werden, obwohl es manchmal nur die Trägheit der vorherigen Rolle ist.</w:t>
      </w:r>
    </w:p>
    <w:p w14:paraId="3397D1C3" w14:textId="77777777" w:rsidR="00D67E55" w:rsidRDefault="00F266ED">
      <w:pPr>
        <w:spacing w:line="240" w:lineRule="auto" w:before="0" w:after="0"/>
      </w:pPr>
      <w:r>
        <w:t>Heute bin ich davon überzeugt, dass der Ausscheiden von Führungskräften ein separates Projekt sein sollte: Kündigungsdatum, Entzug der Vollmacht, Banklizenzen, elektronische Signaturen, Zugang, Archiv, förmliche Mitteilung von Auftragnehmern, Übertragung von Fällen, Verbot der Verwendung alter Korrespondenz als Kanal für Bestellungen.</w:t>
      </w:r>
    </w:p>
    <w:p w14:paraId="6256E322" w14:textId="77777777" w:rsidR="00D67E55" w:rsidRDefault="00F266ED">
      <w:pPr>
        <w:spacing w:line="240" w:lineRule="auto" w:before="0" w:after="0"/>
      </w:pPr>
      <w:r>
        <w:lastRenderedPageBreak/>
        <w:t>Wir sahen dies nicht als ein kritisches Sicherheitssystem, und nach dem Konflikt sah ich, dass das Fehlen einer sauberen Pause ein Risiko für alle Parteien schafft: Ein ehemaliger Manager kann wie ein etablierter aussehen, und ein aktuelles Unternehmen kann sich auf die Entscheidungen einer Person beziehen, die nicht mehr die Kontrolle hat.</w:t>
      </w:r>
    </w:p>
    <w:p w14:paraId="3A547029" w14:textId="77777777" w:rsidR="00D67E55" w:rsidRDefault="00F266ED">
      <w:pPr>
        <w:pStyle w:val="1"/>
        <w:pageBreakBefore/>
        <w:spacing w:before="900" w:after="480"/>
        <w:jc w:val="center"/>
      </w:pPr>
      <w:r>
        <w:rPr>
          <w:rFonts w:ascii="Arial" w:hAnsi="Arial"/>
          <w:sz w:val="20"/>
        </w:rPr>
        <w:lastRenderedPageBreak/>
        <w:t>Teil IV. 2025: Verkauf, auseinandergehende Interessen und neue Kontrolle</w:t>
      </w:r>
    </w:p>
    <w:p w14:paraId="545FA272" w14:textId="77777777" w:rsidR="00D67E55" w:rsidRDefault="00F266ED">
      <w:pPr>
        <w:pStyle w:val="21"/>
        <w:pageBreakBefore/>
      </w:pPr>
      <w:r>
        <w:rPr>
          <w:rFonts w:ascii="Arial" w:hAnsi="Arial"/>
          <w:sz w:val="20"/>
        </w:rPr>
        <w:lastRenderedPageBreak/>
        <w:t>26. Die Rückkehr der Transaktion</w:t>
      </w:r>
    </w:p>
    <w:p w14:paraId="73E7C92D" w14:textId="77777777" w:rsidR="00D67E55" w:rsidRDefault="00F266ED">
      <w:pPr>
        <w:pStyle w:val="NoIndent"/>
        <w:rPr>
          <w:rFonts w:hint="eastAsia"/>
        </w:rPr>
      </w:pPr>
      <w:r>
        <w:rPr>
          <w:rFonts w:ascii="Arial" w:hAnsi="Arial"/>
          <w:sz w:val="20"/>
        </w:rPr>
        <w:t>Im Frühjahr 2025 startete Infamed K einen anderen Prozess: einen echten Verkauf, einen käuferseitigen Vertragsentwurf, der kein Familienstreit über die Vergangenheit war, sondern ein M&amp;A mit spezifischen Risiken, Garantien, Haftung und Käufer.</w:t>
      </w:r>
    </w:p>
    <w:p w14:paraId="1E1DB46B" w14:textId="77777777" w:rsidR="00D67E55" w:rsidRDefault="00F266ED">
      <w:r>
        <w:t>Am 17. April schaute ich mir das Projekt an und sah eine ernsthafte Asymmetrie darin, wo der Käufer viele Möglichkeiten hatte, den Deal abzulehnen, und der Verkäufer viele Garantien und Verantwortlichkeiten übernahm, und ich war besonders besorgt über geistiges Eigentum: Sie können einem Käufer nichts versprechen, was rechtlich nicht zu der Fabrik gehören könnte, die Sie verkauften.</w:t>
      </w:r>
    </w:p>
    <w:p w14:paraId="749F2417" w14:textId="77777777" w:rsidR="00D67E55" w:rsidRDefault="00F266ED">
      <w:r>
        <w:t>Zu diesem Zeitpunkt war ich nicht mehr der übliche Gruppenmanager, der den Deal um jeden Preis abschließen musste.Nach dem 04.11.2024 hatte ich keine Interessen an der IP-Schaltung; Ich studierte Käufer-SPA wegen historischer Haftung, verkäuferseitiger Risiken und meiner eigenen rechtlichen Konsequenzen, anstatt als Teilnehmer an nachfolgenden IP-Aktionen.</w:t>
      </w:r>
    </w:p>
    <w:p w14:paraId="1838818A" w14:textId="77777777" w:rsidR="00D67E55" w:rsidRDefault="00F266ED">
      <w:r>
        <w:t>Am 23. April wurde die Einladung der NSP-Anwälte "The Pharmstandard Deal" genannt, was zeigt, dass die wirtschaftliche Kontur des Käufers innerhalb des Rechtsteams klar war, und dann begannen wir mit der Arbeit an Versionen des Vertrags, Änderungen, Verhandlungen und Versuchen, das Risiko der Verkäuferseite zu reduzieren.</w:t>
      </w:r>
    </w:p>
    <w:p w14:paraId="4ACE5649" w14:textId="77777777" w:rsidR="00D67E55" w:rsidRDefault="00F266ED">
      <w:r>
        <w:t>Für mich ist 2025 wichtig, weil es nicht mehr als Familienkonflikt zu erklären ist: Ein neues wirtschaftliches Interesse kommt ins Spiel: Der Käufer hat seine eigene Logik, seine eigenen Kontrollanforderungen und seine eigenen Ansichten zu IP. Alte interne Widersprüche werden Teil von Due Diligence und Vertrag.</w:t>
      </w:r>
    </w:p>
    <w:p w14:paraId="68D10F79" w14:textId="77777777" w:rsidR="00D67E55" w:rsidRDefault="00F266ED">
      <w:pPr>
        <w:pStyle w:val="21"/>
        <w:pageBreakBefore/>
      </w:pPr>
      <w:r>
        <w:rPr>
          <w:rFonts w:ascii="Arial" w:hAnsi="Arial"/>
          <w:sz w:val="20"/>
        </w:rPr>
        <w:lastRenderedPageBreak/>
        <w:t>27. Anton: Weder Feind noch Statist</w:t>
      </w:r>
    </w:p>
    <w:p w14:paraId="374B96CF" w14:textId="77777777" w:rsidR="00D67E55" w:rsidRDefault="00F266ED">
      <w:pPr>
        <w:pStyle w:val="NoIndent"/>
        <w:rPr>
          <w:rFonts w:hint="eastAsia"/>
        </w:rPr>
      </w:pPr>
      <w:r>
        <w:rPr>
          <w:rFonts w:ascii="Arial" w:hAnsi="Arial"/>
          <w:sz w:val="20"/>
        </w:rPr>
        <w:t>Ich möchte die Wahrheit über Anton getrennt halten, denn Familienkonflikte lassen sich besonders leicht rückwirkend umschreiben. Im Frühjahr 2025 gab es keine einfache persönliche Konfrontation zwischen uns. Korrespondenz zeigt Kooperation.</w:t>
      </w:r>
    </w:p>
    <w:p w14:paraId="69E554B8" w14:textId="77777777" w:rsidR="00D67E55" w:rsidRDefault="00F266ED">
      <w:r>
        <w:t>Anton würde vom Käufer Versionen des Vertrags bekommen und sie an die Anwälte weiterleiten, und er würde mich in eine Kopie aufnehmen, er würde zu den Verhandlungen gehen, er würde dringende Änderungen verlangen, er würde sagen, dass er zum nächsten Treffen gehen würde, und das war das Verhalten eines echten Verhandlungsführers, nicht von einer Person, die nur formell unterschrieben hat, was sie bekommen haben.</w:t>
      </w:r>
    </w:p>
    <w:p w14:paraId="1DF008AA" w14:textId="77777777" w:rsidR="00D67E55" w:rsidRDefault="00F266ED">
      <w:r>
        <w:t>In einer E-Mail vom 30. April beschrieb Anton seine Strategie als einen Versuch, einem Käufer zu zeigen, dass er bereit war, zu handeln, während er Zeit gewann und Interessen schützte, die er als verletzlich ansah, ein wichtiges Dokument, gerade weil es zum Zeitpunkt der Ereignisse geschrieben wurde, nicht ein Jahr später für das Gericht.</w:t>
      </w:r>
    </w:p>
    <w:p w14:paraId="1C8911DD" w14:textId="77777777" w:rsidR="00D67E55" w:rsidRDefault="00F266ED">
      <w:r>
        <w:t>Ich glaube, dass Anton von anderen Akteuren beeinflusst wurde, einschließlich Dmitry. Aber Einfluss negiert nicht seine eigene Subjektivität. Ich denke, es ist unfair, Anton entweder zum Chefarchitekten aller Ereignisse oder zu einer völlig passiven Denomination zu machen. Die Wahrheit ist wahrscheinlich komplizierter.</w:t>
      </w:r>
    </w:p>
    <w:p w14:paraId="517F164A" w14:textId="77777777" w:rsidR="00D67E55" w:rsidRDefault="00F266ED">
      <w:r>
        <w:t>Für die Nachwelt ist die menschliche Lektion hier, dass wenn ein Verwandter eine Entscheidung trifft, mit der man nicht einverstanden ist, nehmen Sie ihm nicht seine Handlungsfähigkeit weg, nur weil es einfacher ist zu erklären, was passiert ist, können Sie gleichzeitig denken, dass sie beeinflusst werden und Sie können zugeben, dass sie ihre eigenen Entscheidungen getroffen haben.</w:t>
      </w:r>
    </w:p>
    <w:tbl>
      <w:tblPr>
        <w:tblW w:w="0" w:type="auto"/>
        <w:jc w:val="center"/>
        <w:tblLook w:val="04A0" w:firstRow="1" w:lastRow="0" w:firstColumn="1" w:lastColumn="0" w:noHBand="0" w:noVBand="1"/>
      </w:tblPr>
      <w:tblGrid>
        <w:gridCol w:w="6464"/>
      </w:tblGrid>
      <w:tr w:rsidR="00D67E55" w14:paraId="397B6CA6" w14:textId="77777777">
        <w:trPr>
          <w:cantSplit/>
          <w:jc w:val="center"/>
          <w:tblHeader/>
        </w:trPr>
        <w:tc>
          <w:tcPr>
            <w:tcW w:w="6464" w:type="dxa"/>
            <w:shd w:val="clear" w:color="auto" w:fill="EEF3F8"/>
          </w:tcPr>
          <w:p w14:paraId="1386E7E8" w14:textId="77777777" w:rsidR="00D67E55" w:rsidRDefault="00F266ED">
            <w:pPr>
              <w:keepNext/>
              <w:jc w:val="left"/>
            </w:pPr>
            <w:r>
              <w:rPr>
                <w:b/>
                <w:sz w:val="16"/>
              </w:rPr>
              <w:t>28.04.2025 Anton schrieb an die NSP, dass er "die neueste Version der PrEP schickte, die ich gestern vom PharmStandat erhalten habe."In der Korrespondenz war Evgeny Gorokhov in einer Kopie, wie vom aktiven offiziellen Verhandlungskanal Anton - Käufer - NSP / Evgeny Gorokhov bestätigt.</w:t>
            </w:r>
            <w:r>
              <w:rPr>
                <w:b/>
                <w:sz w:val="16"/>
              </w:rPr>
              <w:br/>
            </w:r>
            <w:r>
              <w:rPr>
                <w:b/>
                <w:sz w:val="16"/>
              </w:rPr>
              <w:t/>
            </w:r>
          </w:p>
        </w:tc>
      </w:tr>
    </w:tbl>
    <w:p w14:paraId="4F03ED14" w14:textId="77777777" w:rsidR="00D67E55" w:rsidRDefault="00F266ED">
      <w:pPr>
        <w:pStyle w:val="21"/>
        <w:pageBreakBefore/>
      </w:pPr>
      <w:r>
        <w:rPr>
          <w:rFonts w:ascii="Arial" w:hAnsi="Arial"/>
          <w:sz w:val="20"/>
        </w:rPr>
        <w:lastRenderedPageBreak/>
        <w:t>28. Juristen als Spiegel des Konflikts</w:t>
      </w:r>
    </w:p>
    <w:p w14:paraId="64AAEAC2" w14:textId="77777777" w:rsidR="00D67E55" w:rsidRDefault="00F266ED">
      <w:pPr>
        <w:pStyle w:val="NoIndent"/>
        <w:rPr>
          <w:rFonts w:hint="eastAsia"/>
        </w:rPr>
      </w:pPr>
      <w:r>
        <w:rPr>
          <w:rFonts w:ascii="Arial" w:hAnsi="Arial"/>
          <w:sz w:val="20"/>
        </w:rPr>
        <w:t>In komplexen Konflikten sind Anwälte manchmal besser darin, zu zeigen, wenn Interessen nicht übereinstimmen, NSPs seit Tagen mit uns zusammenarbeiten, Verträge analysieren, Risiken formulieren, Verhandlungsstrategien verfolgen und ihr April-Mai-Bericht zeigt Dutzende von Arbeitsstunden beim Verkauf von Infamed K.</w:t>
      </w:r>
    </w:p>
    <w:p w14:paraId="0BFD1428" w14:textId="77777777" w:rsidR="00D67E55" w:rsidRDefault="00F266ED">
      <w:r>
        <w:t>Am 12. Mai schrieben die Anwälte, dass die neue Version die überwiegende Mehrheit ihrer Änderungen nicht akzeptierte und dass der Vertrag im Wesentlichen in der Nähe der ursprünglichen Position zurückging, was für mich eine wichtige Bestätigung war, dass der Widerstand gegen bestimmte Bedingungen des Deals nicht meine persönliche emotionale Reaktion war.</w:t>
      </w:r>
    </w:p>
    <w:p w14:paraId="06FB09CB" w14:textId="77777777" w:rsidR="00D67E55" w:rsidRDefault="00F266ED">
      <w:r>
        <w:t>Aber allmählich stellte sich eine andere Frage: Kann ein Team von Anwälten gleichzeitig dem Verkäufer helfen, den Deal abzuschließen und meine individuellen Interessen über IP und damit verbundene Verpflichtungen zu schützen?</w:t>
      </w:r>
    </w:p>
    <w:p w14:paraId="67B35A41" w14:textId="77777777" w:rsidR="00D67E55" w:rsidRDefault="00F266ED">
      <w:r>
        <w:t>Am 15. Mai berichteten die NSPs offiziell über die Divergenz der Interessen, und ich bestehe insbesondere auf dem genauen Wortlaut dieser Episode, die kein Dokument über einen persönlichen Streit zwischen Anton und mir war, sondern eine professionell ethische Schlussfolgerung der Anwälte: Sie konnten beide Parteien nicht mehr in der gleichen Kontur der Transaktion begleiten.</w:t>
      </w:r>
    </w:p>
    <w:p w14:paraId="669A6194" w14:textId="77777777" w:rsidR="00D67E55" w:rsidRDefault="00F266ED">
      <w:r>
        <w:t>Ein rechtlicher Interessenkonflikt entsteht manchmal zwischen Personen, die persönlich sprechen können, was nicht Feindseligkeit, sondern Unvereinbarkeit von Aufgaben bedeutet; der Verkäufer möchte den Deal abschließen; der Rechteinhaber möchte keine Rechte verlieren und keine Garantien anderer übernehmen; beide Interessen können rational sein.</w:t>
      </w:r>
    </w:p>
    <w:tbl>
      <w:tblPr>
        <w:tblW w:w="0" w:type="auto"/>
        <w:jc w:val="center"/>
        <w:tblLook w:val="04A0" w:firstRow="1" w:lastRow="0" w:firstColumn="1" w:lastColumn="0" w:noHBand="0" w:noVBand="1"/>
      </w:tblPr>
      <w:tblGrid>
        <w:gridCol w:w="6464"/>
      </w:tblGrid>
      <w:tr w:rsidR="00D67E55" w14:paraId="13500DC0" w14:textId="77777777">
        <w:trPr>
          <w:cantSplit/>
          <w:jc w:val="center"/>
          <w:tblHeader/>
        </w:trPr>
        <w:tc>
          <w:tcPr>
            <w:tcW w:w="6464" w:type="dxa"/>
            <w:shd w:val="clear" w:color="auto" w:fill="EEF3F8"/>
          </w:tcPr>
          <w:p w14:paraId="4B9E4F2B" w14:textId="77777777" w:rsidR="00D67E55" w:rsidRDefault="00F266ED">
            <w:pPr>
              <w:keepNext/>
              <w:jc w:val="left"/>
            </w:pPr>
            <w:r>
              <w:rPr>
                <w:b/>
                <w:sz w:val="16"/>
              </w:rPr>
              <w:t>Am 15. Mai 2025 gab es eine formale Divergenz der rechtlichen Interessen, die in der M &amp; A-Transaktion vertreten waren, was an sich keinen persönlichen Konflikt zwischen Evgeny Gorokhov und Anton anzeigt.</w:t>
            </w:r>
            <w:r>
              <w:rPr>
                <w:b/>
                <w:sz w:val="16"/>
              </w:rPr>
              <w:br/>
            </w:r>
            <w:r>
              <w:rPr>
                <w:b/>
                <w:sz w:val="16"/>
              </w:rPr>
              <w:t/>
            </w:r>
          </w:p>
        </w:tc>
      </w:tr>
    </w:tbl>
    <w:p w14:paraId="012C2C29" w14:textId="77777777" w:rsidR="00D67E55" w:rsidRDefault="00F266ED">
      <w:pPr>
        <w:pStyle w:val="21"/>
        <w:pageBreakBefore/>
      </w:pPr>
      <w:r>
        <w:rPr>
          <w:rFonts w:ascii="Arial" w:hAnsi="Arial"/>
          <w:sz w:val="20"/>
        </w:rPr>
        <w:lastRenderedPageBreak/>
        <w:t>29. Pharmstandard und die Frage eines parallelen Vertriebskanals</w:t>
      </w:r>
    </w:p>
    <w:p w14:paraId="16A6D738" w14:textId="77777777" w:rsidR="00D67E55" w:rsidRDefault="00F266ED">
      <w:pPr>
        <w:pStyle w:val="NoIndent"/>
        <w:rPr>
          <w:rFonts w:hint="eastAsia"/>
        </w:rPr>
      </w:pPr>
      <w:r>
        <w:rPr>
          <w:rFonts w:ascii="Arial" w:hAnsi="Arial"/>
          <w:sz w:val="20"/>
        </w:rPr>
        <w:t>Es gibt eine Episode in der Geschichte des Verkaufs, die ich immer noch für potenziell wichtig halte, aber ich kann nicht als bewiesene Tatsache festhalten: Ich wurde informiert, dass Dmitry im April 2025 in Dubai separate Gespräche mit Velichko, verbunden mit Pharmstandard, führen könnte.</w:t>
      </w:r>
    </w:p>
    <w:p w14:paraId="199B4D46" w14:textId="77777777" w:rsidR="00D67E55" w:rsidRDefault="00F266ED">
      <w:r>
        <w:t>Wenn ein solches Treffen stattfinden würde, könnte es einige der Informationsasymmetrie erklären, dann gäbe es einen formellen Verhandlungskanal durch Anton und Anwälte und einen parallelen informellen Kanal, in dem andere Interessen oder Erwartungen diskutiert werden könnten.</w:t>
      </w:r>
    </w:p>
    <w:p w14:paraId="75F031CF" w14:textId="77777777" w:rsidR="00D67E55" w:rsidRDefault="00F266ED">
      <w:r>
        <w:t>Das Problem ist, dass ich in der Gmail-Korrespondenz, die ich untersucht habe, keine unabhängigen Beweise für das Treffen selbst finden konnte: Einladungen, Briefe, Tickets, Nachrichten vom Teilnehmer nach dem Treffen. Mangel an Beweisen bedeutet nicht, dass das Treffen nicht stattgefunden hat. Aber Memoiren, die behaupten, ehrlich zu sein, sollten die Frage offen lassen können.</w:t>
      </w:r>
    </w:p>
    <w:p w14:paraId="1AB3BD50" w14:textId="77777777" w:rsidR="00D67E55" w:rsidRDefault="00F266ED">
      <w:r>
        <w:t>Ich drehe diese Episode ein, weil sie den Unterschied zwischen Wissen und Glauben zeigt, und ich kann psychologisch sehr überzeugend über eine bestimmte Version von Ereignissen sein, aber wenn ich ein nützliches Archiv hinterlassen möchte, anstatt eine Familienlegende, muss ich die Linie markieren.</w:t>
      </w:r>
    </w:p>
    <w:p w14:paraId="7C725F87" w14:textId="77777777" w:rsidR="00D67E55" w:rsidRDefault="00F266ED">
      <w:r>
        <w:t>Wenn es jemals Luftdaten, Korrespondenz oder ein Zeugnis eines Teilnehmers gibt, kann dieses Kapitel erweitert werden, und der richtige Satz ist: "Ich dachte, ein solcher Kanal könnte existieren, aber ich habe keine unabhängigen dokumentarischen Beweise."</w:t>
      </w:r>
    </w:p>
    <w:p w14:paraId="4AC7CA75" w14:textId="77777777" w:rsidR="00D67E55" w:rsidRDefault="00F266ED">
      <w:pPr>
        <w:pStyle w:val="21"/>
        <w:pageBreakBefore/>
      </w:pPr>
      <w:r>
        <w:rPr>
          <w:rFonts w:ascii="Arial" w:hAnsi="Arial"/>
          <w:sz w:val="20"/>
        </w:rPr>
        <w:lastRenderedPageBreak/>
        <w:t>30. Die Transaktion wird abgeschlossen, die Geschichte nicht</w:t>
      </w:r>
    </w:p>
    <w:p w14:paraId="6DAED3A0" w14:textId="77777777" w:rsidR="00D67E55" w:rsidRDefault="00F266ED">
      <w:pPr>
        <w:pStyle w:val="NoIndent"/>
        <w:spacing w:line="240" w:lineRule="auto" w:before="0" w:after="0"/>
        <w:rPr>
          <w:rFonts w:hint="eastAsia"/>
        </w:rPr>
      </w:pPr>
      <w:r>
        <w:rPr>
          <w:rFonts w:ascii="Arial" w:hAnsi="Arial"/>
          <w:sz w:val="20"/>
        </w:rPr>
        <w:t>Im Sommer 2025 hatte der russische Produktionskreislauf den Besitzer gewechselt, die Kontrollstruktur von Megainpharm hatte sich geändert, New Medical Technologies KFT erschien auf österreichischer Registerebene, der Direktor wechselte und die alte Familienkonfiguration war schließlich nicht mehr dieselbe.</w:t>
      </w:r>
    </w:p>
    <w:p w14:paraId="66F99B42" w14:textId="77777777" w:rsidR="00D67E55" w:rsidRDefault="00F266ED">
      <w:pPr>
        <w:spacing w:line="240" w:lineRule="auto" w:before="0" w:after="0"/>
      </w:pPr>
      <w:r>
        <w:t>Ich möchte über das Team separat sprechen, alle von den Aktionären festgelegten Mindestkennzahlen wurden erfüllt, und ich habe bereits härtere Anforderungen an das Team gestellt, so dass Sie meine hohe Messlatte nicht in ein Argument gegen Leute verwandeln können, die die von den Aktionären festgelegten Ziele erreicht haben.</w:t>
      </w:r>
    </w:p>
    <w:p w14:paraId="10C60FD1" w14:textId="77777777" w:rsidR="00D67E55" w:rsidRDefault="00F266ED">
      <w:pPr>
        <w:spacing w:line="240" w:lineRule="auto" w:before="0" w:after="0"/>
      </w:pPr>
      <w:r>
        <w:t>Für mich ist dies eine Zeit, in der es wichtig ist, drei Epochen zu teilen: die erste ist die interne Familien- und Unternehmenskrise von 2024; die zweite ist M &amp; A und der Wechsel der wirtschaftlichen Kontrolle im Jahr 2025; die dritte sind die Handlungen von Unternehmen nach dem Wechsel von Eigentum und Management.</w:t>
      </w:r>
    </w:p>
    <w:p w14:paraId="19597A6D" w14:textId="77777777" w:rsidR="00D67E55" w:rsidRDefault="00F266ED">
      <w:pPr>
        <w:spacing w:line="240" w:lineRule="auto" w:before="0" w:after="0"/>
      </w:pPr>
      <w:r>
        <w:t>Im emotionalen Gedächtnis verbinden sich diese Phasen. Es scheint wie eine einzige Linie, aber rechtlich und analytisch kann man den alten Konflikt nicht automatisch dem neuen Eigentümer zuschreiben oder umgekehrt mir die Entscheidungen von Unternehmen zuschreiben, nachdem ich die Kontrolle über sie verloren habe.</w:t>
      </w:r>
    </w:p>
    <w:p w14:paraId="18BA759A" w14:textId="77777777" w:rsidR="00D67E55" w:rsidRDefault="00F266ED">
      <w:pPr>
        <w:spacing w:line="240" w:lineRule="auto" w:before="0" w:after="0"/>
      </w:pPr>
      <w:r>
        <w:t>Der Kontrollwechsel der MIF zu New Medical Technologies und die Ernennung von Gyorgy Harmas werden bestätigt. Die direkte Eigentums-/Kontrollkette von MIF zu PST/Pharmstandard in dem untersuchten Array ist nicht vollständig bewiesen. Ich sehe wirtschaftliche Überschneidungen, ich kann meine Annahmen haben, aber ich muss eine Gesetzesklausel in dem Buch lassen.</w:t>
      </w:r>
    </w:p>
    <w:p w14:paraId="443E4BCB" w14:textId="77777777" w:rsidR="00D67E55" w:rsidRDefault="00F266ED">
      <w:pPr>
        <w:spacing w:line="240" w:lineRule="auto" w:before="0" w:after="0"/>
      </w:pPr>
      <w:r>
        <w:t>Nach dem Verkauf hatte ich zum ersten Mal das Gefühl, dass die historische Verantwortung und die derzeitige Macht völlig auseinandergegangen waren, die Unternehmen ohne Sie weiterlebten, aber die Dokumente aus der Zeit Ihrer Geschäftsleitung weiterhin Konsequenzen nach sich ziehen. Nach dem 04.11.2024 hatte ich kein Interesse an der IP-Schaltung: Nachfolgende IP-Aktionen fanden ohne mein Wissen statt, ich erfuhr sie im Nachhinein, NSPs waren mit anderen Dingen beschäftigt, die ich tat, und PST-Events fanden ohne meine Teilnahme und mein Wissen statt.</w:t>
      </w:r>
      <w:r>
        <w:lastRenderedPageBreak/>
        <w:t/>
      </w:r>
    </w:p>
    <w:p w14:paraId="24EE8317" w14:textId="77777777" w:rsidR="00D67E55" w:rsidRDefault="00F266ED">
      <w:pPr>
        <w:pStyle w:val="21"/>
        <w:pageBreakBefore/>
      </w:pPr>
      <w:r>
        <w:rPr>
          <w:rFonts w:ascii="Arial" w:hAnsi="Arial"/>
          <w:sz w:val="20"/>
        </w:rPr>
        <w:lastRenderedPageBreak/>
        <w:t>30A. Wer letztlich was erhielt</w:t>
      </w:r>
    </w:p>
    <w:p w14:paraId="6D27C2C0" w14:textId="77777777" w:rsidR="00D67E55" w:rsidRDefault="00F266ED">
      <w:r>
        <w:t>Die Ergänzung vom 3. September 2026, meine Einschätzung unten, ist, dass die Beträge, die ich aufgelistet habe, Netting, Geldmanagement und Forderungsverzeihung einen Vergleich mit den Primärdokumenten erfordern; es ist keine Nacherzählung der Schuld des Gerichts.</w:t>
      </w:r>
    </w:p>
    <w:p w14:paraId="29671ED6" w14:textId="77777777" w:rsidR="00D67E55" w:rsidRDefault="00F266ED">
      <w:r>
        <w:t>Andrey Yuryevich, nach meinen Informationen, erhielt etwa 8 Milliarden Rubel für ein 51% Paket und trennte sich schließlich von der Firma, führte eine einseitige Abrechnung von Transaktionen mit Broker durch, die Dmitry zuvor kontrollierte. Für mich ist dies ein wichtiges Endergebnis. Aber der Verkauf, die Verteilung von Geld und nachfolgende Kredite sind kein Ereignis oder ein Betrag. Antons formale Rolle als Verkäufer zeigt nicht selbst, wer letztendlich den Erlös bekommen hat; es muss durch Verträge, Erklärungen und Kredite wiederhergestellt werden.</w:t>
      </w:r>
      <w:r>
        <w:t/>
      </w:r>
    </w:p>
    <w:p w14:paraId="7416BE8C" w14:textId="77777777" w:rsidR="00D67E55" w:rsidRDefault="00F266ED">
      <w:r>
        <w:t>Dmitry, als ich die Situation einschätze, erlangte schließlich finanzielle Unabhängigkeit und behielt Einfluss auf Andrey Yuryevich durch die Verwaltung seines eigenen Geldes. Ich glaube auch, dass ihm frühere Verstöße und Veruntreuungen um etwa 2,5 Milliarden Rubel verziehen wurden. Nach meiner Schätzung wurde dies durch vier unabhängige Quellen bewiesen. Hier halte ich die Grenze: das ist meine Position; die vollständige Reihe von vier Quellen, ihre Unabhängigkeit, persönliche Zuordnung und zusammenfassende Berechnung in dieser Ausgabe werden nicht separat verifiziert.</w:t>
      </w:r>
      <w:r>
        <w:t/>
      </w:r>
    </w:p>
    <w:p w14:paraId="2798F3A7" w14:textId="77777777" w:rsidR="00D67E55" w:rsidRDefault="00F266ED">
      <w:r>
        <w:t>Mein eigenes Ergebnis sind die Gerichte und die Strafverfolgung, ohne Entschädigung oder Zahlung, weder der direkte noch der indirekte wirtschaftliche Nutzen der beschriebenen Umverteilung und des Verkaufs, noch der Nutzen, der in dem untersuchten Array gefunden wurde, noch meine persönlichen Prozesse gegen Andrey und Dmitry hängen mit MIF / IP-Problemen von Unternehmen zusammen.</w:t>
      </w:r>
    </w:p>
    <w:p w14:paraId="31C80BA3" w14:textId="77777777" w:rsidR="00D67E55" w:rsidRDefault="00F266ED">
      <w:r>
        <w:lastRenderedPageBreak/>
        <w:t>Der Rest der Teilnehmer hat nach meiner allgemeinen Einschätzung auch ihr Geld bekommen und/oder ihre früheren Ansprüche losgeworden, aber ich möchte diese allgemeine Schlussfolgerung nicht durch ein Register spezifischer Berechnungen ersetzen: Für jede Person muss man sagen, was sie bekommen haben, wann, von wem und auf welcher Grundlage. Geld, behaltene Position, Kontrolle und kein Anspruch sind unterschiedliche Ergebnisse; keiner von ihnen kann einer Person nur durch Mitgliedschaft zugeschrieben werden.</w:t>
      </w:r>
    </w:p>
    <w:p w14:paraId="62732801" w14:textId="77777777" w:rsidR="00D67E55" w:rsidRDefault="00F266ED">
      <w:r>
        <w:t>Für mich ist die große Frage, warum die Vorteile und Möglichkeiten, Entscheidungen zu beeinflussen, mir allein überlassen werden, und ein erheblicher Teil der verfahrenstechnischen Belastung für mich, ohne dass ein vergleichbarer Nutzen identifiziert wird? Das ist ein Grund, die Verteilung der Ergebnisse zu überprüfen, nicht nur die Unterschrift des Darstellers. Aber selbst diese Asymmetrie allein beweist weder vorher vereinbarte Festnahme, noch die Schuld eines anderen oder meine Unschuld. Dokumente sollten getrennt Fragen zu Geld, Autorität, Wissen und Unterschriften beantworten. Diese Schlussfolgerung impliziert keinen persönlichen Konflikt zwischen mir und Anton.</w:t>
      </w:r>
      <w:r>
        <w:t/>
      </w:r>
    </w:p>
    <w:p w14:paraId="76D2AC9D" w14:textId="77777777" w:rsidR="00D67E55" w:rsidRDefault="00F266ED">
      <w:pPr>
        <w:pStyle w:val="21"/>
        <w:pageBreakBefore/>
      </w:pPr>
      <w:r>
        <w:rPr>
          <w:rFonts w:ascii="Arial" w:hAnsi="Arial"/>
          <w:sz w:val="20"/>
        </w:rPr>
        <w:lastRenderedPageBreak/>
        <w:t>31. Zession und die Umwandlung von Familiengeld in Geld für Gerichtsverfahren</w:t>
      </w:r>
    </w:p>
    <w:p w14:paraId="0B3505B7" w14:textId="77777777" w:rsidR="00D67E55" w:rsidRDefault="00F266ED">
      <w:pPr>
        <w:pStyle w:val="NoIndent"/>
        <w:rPr>
          <w:rFonts w:hint="eastAsia"/>
        </w:rPr>
      </w:pPr>
      <w:r>
        <w:rPr>
          <w:rFonts w:ascii="Arial" w:hAnsi="Arial"/>
          <w:sz w:val="20"/>
        </w:rPr>
        <w:t>Wenn Unternehmenskonflikte persönliche Geldbeziehungen beeinflussen, wird es besonders schwierig, und im Jahr 2025 erschien eine Klage, in der Andrey Yuryevich angeblich einen bestimmten Anspruch an Dmitry abgetreten hat.</w:t>
      </w:r>
    </w:p>
    <w:p w14:paraId="0C28E891" w14:textId="77777777" w:rsidR="00D67E55" w:rsidRDefault="00F266ED">
      <w:r>
        <w:t>Es ist wichtig, diese Verfahren nicht mit Unternehmensangelegenheiten zu vermischen: die Gerichte von Evgeny Gorokhov gegen Andrey Gorokhov und GD waren keine Streitigkeiten über die Corporate Governance von MIFs oder IP-Mächten. Im Moment hat meine Familie buchstäblich nichts zu leben, und das ist Teil meiner persönlichen Realität, aber kein Beweis für eine Unternehmens- oder Kriminalthese.</w:t>
      </w:r>
    </w:p>
    <w:p w14:paraId="186EC72A" w14:textId="77777777" w:rsidR="00D67E55" w:rsidRDefault="00F266ED">
      <w:r>
        <w:t>Das Dokument selbst existiert und wurde später in Dmitrys Gerichtsposition verwendet, aber die Echtheit der einzelnen Unterschriften, die Gültigkeit des Testaments, die Realität der Zahlung und die wirtschaftliche Grundlage der Transaktion sind umstritten geworden.</w:t>
      </w:r>
    </w:p>
    <w:p w14:paraId="6CDB4A7B" w14:textId="77777777" w:rsidR="00D67E55" w:rsidRDefault="00F266ED">
      <w:r>
        <w:t>Im Dezember schrieb ich direkt an Andrey und bat ihn, zu bestätigen, ob er das Abkommen am 8. Juli unterzeichnet hatte, und ich fragte ihn nach der Unterschrift, nach dem Geldverkehr und nach dem Ausmaß, in dem Dmitrys Handlungen Andreys wirklichem Willen entsprachen, und das waren meine Fragen und meine anklagenden Vermutungen - kein vorgefertigtes Gerichtsurteil.</w:t>
      </w:r>
    </w:p>
    <w:p w14:paraId="33C541AD" w14:textId="77777777" w:rsidR="00D67E55" w:rsidRDefault="00F266ED">
      <w:r>
        <w:t>Und das ist eine besonders schmerzhafte Geschichte, denn Geld zwischen Verwandten wird fast nie so sorgfältig gehandhabt wie Geld zwischen Fremden, und wir denken, dass Verwandtschaft das Risiko reduziert und in der Praxis, im Konflikt, die Unsicherheit erhöht: Zu viel ist auf Vertrauen passiert.</w:t>
      </w:r>
    </w:p>
    <w:p w14:paraId="31756064" w14:textId="77777777" w:rsidR="00D67E55" w:rsidRDefault="00F266ED">
      <w:r>
        <w:t>Wenn sich die Nachkommen an eine Sache in diesem Kapitel erinnern: jedes große Darlehen zwischen Verwandten, machen Sie es so, als ob die Parteien nicht vertraut wären, der Vertrag, der Zweck der Zahlung, die Bestätigung der Übertragung, die Zinsen, die Konzession, alles sollte transparent sein. Es ist nicht Mangel an Liebe. Es schützt die Beziehung vor der zukünftigen Erinnerung.</w:t>
      </w:r>
    </w:p>
    <w:p w14:paraId="7EFFAE4C" w14:textId="77777777" w:rsidR="00D67E55" w:rsidRDefault="00F266ED">
      <w:pPr>
        <w:pStyle w:val="21"/>
        <w:pageBreakBefore/>
      </w:pPr>
      <w:r>
        <w:rPr>
          <w:rFonts w:ascii="Arial" w:hAnsi="Arial"/>
          <w:sz w:val="20"/>
        </w:rPr>
        <w:lastRenderedPageBreak/>
        <w:t>32. Wenn der Konflikt aus dem Unternehmen ins Leben übergreift</w:t>
      </w:r>
    </w:p>
    <w:p w14:paraId="31CE8EE0" w14:textId="77777777" w:rsidR="00D67E55" w:rsidRDefault="00F266ED">
      <w:pPr>
        <w:pStyle w:val="NoIndent"/>
        <w:rPr>
          <w:rFonts w:hint="eastAsia"/>
        </w:rPr>
      </w:pPr>
      <w:r>
        <w:rPr>
          <w:rFonts w:ascii="Arial" w:hAnsi="Arial"/>
          <w:sz w:val="20"/>
        </w:rPr>
        <w:t>Irgendwann ist der Streit nicht mehr auf den Besprechungsraum beschränkt, er betritt das Haus, das Bankkonto, die Immobilien, Familiengespräche, Fragen zu Schlössern, Zugang, Vollmachten, Schulden, private Nachrichten, und es ist kein reiner Unternehmenskonflikt mehr, sondern ein Identitätskonflikt.</w:t>
      </w:r>
    </w:p>
    <w:p w14:paraId="5C4BE530" w14:textId="77777777" w:rsidR="00D67E55" w:rsidRDefault="00F266ED">
      <w:r>
        <w:t>Es ist schwer für eine Person, die seit Jahren in der Wirtschaft tätig ist, den Verlust der Unternehmenskontrolle von dem Gefühl persönlicher Ungerechtigkeit zu trennen, und es ist auch schwer für mich. Manchmal habe ich schärfer reagiert, als ich es hätte tun sollen, manchmal habe ich versucht, zu viele Ereignisse in eine Erklärung zu bringen.</w:t>
      </w:r>
    </w:p>
    <w:p w14:paraId="66A45D05" w14:textId="77777777" w:rsidR="00D67E55" w:rsidRDefault="00F266ED">
      <w:r>
        <w:t>Hier hat mir die forensische Disziplin geholfen: jede Episode separat. Wer hat es getan? Wann? Wer hat es getan? Wer hat davon profitiert? Gibt es ein unabhängiges Dokument? Diese langweilige Technik bringt eine Person zurück von einer Welt des totalen Verdachts in eine Welt der überprüfbaren Fakten.</w:t>
      </w:r>
    </w:p>
    <w:p w14:paraId="4A9168F3" w14:textId="77777777" w:rsidR="00D67E55" w:rsidRDefault="00F266ED">
      <w:r>
        <w:t>Und es brachte mich dazu, einige meiner eigenen Sprache zu überdenken, und ich konnte die Unterschrift als Fälschung betrachten, aber ohne das Fachwissen ist es genauer zu sagen, dass Authentizität umstritten ist, und ich könnte die Person als abhängig von der anderen Person betrachten, aber ohne eine nachgewiesene Einflusskette kann man das nicht in die Tat umsetzen und ich konnte Koordination sehen, aber das Zusammentreffen von Interessen beweist nicht den Gesamtplan.</w:t>
      </w:r>
    </w:p>
    <w:p w14:paraId="47740DD7" w14:textId="77777777" w:rsidR="00D67E55" w:rsidRDefault="00F266ED">
      <w:r>
        <w:t>Für das Gericht ist diese Vorsicht eine Technik. Für das Leben ist es eine Möglichkeit, Konflikte davon abzuhalten, den Geist vollständig zu übernehmen.</w:t>
      </w:r>
    </w:p>
    <w:p w14:paraId="4A43C998" w14:textId="77777777" w:rsidR="00D67E55" w:rsidRDefault="00F266ED">
      <w:pPr>
        <w:pStyle w:val="1"/>
        <w:pageBreakBefore/>
        <w:spacing w:before="900" w:after="480"/>
        <w:jc w:val="center"/>
      </w:pPr>
      <w:r>
        <w:rPr>
          <w:rFonts w:ascii="Arial" w:hAnsi="Arial"/>
          <w:sz w:val="20"/>
        </w:rPr>
        <w:lastRenderedPageBreak/>
        <w:t>Teil V. 2026: Gerichtsverfahren, Erinnerung und was bleiben wird</w:t>
      </w:r>
    </w:p>
    <w:p w14:paraId="2599B9EA" w14:textId="77777777" w:rsidR="00D67E55" w:rsidRDefault="00F266ED">
      <w:pPr>
        <w:pStyle w:val="21"/>
        <w:pageBreakBefore/>
      </w:pPr>
      <w:r>
        <w:rPr>
          <w:rFonts w:ascii="Arial" w:hAnsi="Arial"/>
          <w:sz w:val="20"/>
        </w:rPr>
        <w:lastRenderedPageBreak/>
        <w:t>33. Das Gericht als Maschine der Vereinfachung</w:t>
      </w:r>
    </w:p>
    <w:p w14:paraId="157E1CDA" w14:textId="77777777" w:rsidR="00D67E55" w:rsidRDefault="00F266ED">
      <w:pPr>
        <w:pStyle w:val="NoIndent"/>
        <w:rPr>
          <w:rFonts w:hint="eastAsia"/>
        </w:rPr>
      </w:pPr>
      <w:r>
        <w:rPr>
          <w:rFonts w:ascii="Arial" w:hAnsi="Arial"/>
          <w:sz w:val="20"/>
        </w:rPr>
        <w:t>Bis 2026 war die Geschichte in mehrere Prozesse unterteilt: Russland, Österreich, IP, Schulden, Registrierungsprobleme, jedes Gericht, das sich ein kleines Stück des großen Bildes ansieht, und das schuf eine ständige Versuchung, dem Gericht ein Leben lang auf einmal zu erzählen.</w:t>
      </w:r>
    </w:p>
    <w:p w14:paraId="22259EAE" w14:textId="77777777" w:rsidR="00D67E55" w:rsidRDefault="00F266ED">
      <w:r>
        <w:t>Aber das Gericht ist anders. Es fragt: Hat die Vollmacht funktioniert? Gab es eine Pflicht? Wer ist der richtige Inhaber? Welche Handlung sollte widerrufen werden? Eine breite Geschichte kann sogar im Weg stehen, wenn sie die Beweisfrage nicht beantwortet.</w:t>
      </w:r>
    </w:p>
    <w:p w14:paraId="184537A1" w14:textId="77777777" w:rsidR="00D67E55" w:rsidRDefault="00F266ED">
      <w:r>
        <w:t>Ich brauchte eine Weile, um das zu akzeptieren. Ich wollte, dass jemand endlich das ganze System sieht: Umstrukturierung, Familienkonflikte, Kontrollwechsel, der Einfluss von Individuen, der Verkauf von Unternehmen, die Konsequenzen. Ein Richter muss keine Familiengeschichte schreiben. Er hat etwas anderes.</w:t>
      </w:r>
    </w:p>
    <w:p w14:paraId="3273DABB" w14:textId="77777777" w:rsidR="00D67E55" w:rsidRDefault="00F266ED">
      <w:r>
        <w:t>Also habe ich zwei Artikel geteilt: Anwälte brauchen einen analytischen Bericht: Quellen, Beweise, alternative Hypothesen. Für die Nachwelt, dieses Buch, können Sie einen Kontext beibehalten, der nicht rechtlich relevant ist, sondern die menschliche Bedeutung von Ereignissen erklärt.</w:t>
      </w:r>
    </w:p>
    <w:p w14:paraId="219AF71A" w14:textId="77777777" w:rsidR="00D67E55" w:rsidRDefault="00F266ED">
      <w:r>
        <w:t>Es gibt noch eine andere Lektion: Bauen Sie niemals eine richterliche Position auf dem Wunsch nach moralischer Rehabilitation auf. Das Gericht ist nicht verpflichtet anzuerkennen, dass Sie ein guter Mensch sind. Sie müssen eine bestimmte rechtliche Tatsache nachweisen. Moralisches Urteil ist eine Frage der Geschichte, der Familie und des Gewissens.</w:t>
      </w:r>
    </w:p>
    <w:p w14:paraId="510658A4" w14:textId="77777777" w:rsidR="00D67E55" w:rsidRDefault="00F266ED">
      <w:pPr>
        <w:pStyle w:val="21"/>
      </w:pPr>
      <w:r>
        <w:rPr>
          <w:rFonts w:ascii="Arial" w:hAnsi="Arial"/>
          <w:sz w:val="20"/>
        </w:rPr>
        <w:t>Eine Entscheidung, die noch kein Schlusspunkt ist</w:t>
      </w:r>
    </w:p>
    <w:p w14:paraId="7B836E41" w14:textId="77777777" w:rsidR="00D67E55" w:rsidRDefault="00F266ED">
      <w:pPr>
        <w:pStyle w:val="NoIndent"/>
        <w:rPr>
          <w:rFonts w:hint="eastAsia"/>
        </w:rPr>
      </w:pPr>
      <w:r>
        <w:rPr>
          <w:rFonts w:ascii="Arial" w:hAnsi="Arial"/>
          <w:sz w:val="20"/>
        </w:rPr>
        <w:t>Die Entscheidung des Wiener Arbeits- und Sozialgerichts vom 13. April 2026, die erst am 18. August veröffentlicht wurde, ist eine ungünstige erstinstanzliche Entscheidung in einem Arbeitsstreit, und ich bereite sie vor und werde sie einreichen; seit dem Datum dieser Ausgabe ist noch keine Beschwerde eingereicht worden.</w:t>
      </w:r>
    </w:p>
    <w:p w14:paraId="7C29BC47" w14:textId="77777777" w:rsidR="00D67E55" w:rsidRDefault="00F266ED">
      <w:r>
        <w:t>Aber es ist auch wichtig, den gleichen genauen Status zu geben: Es ist eine erstinstanzliche Entscheidung in einem Arbeitsstreit, keine strafrechtliche Verurteilung. Sie wurde meinem Anwalt am 18. August übergeben. Am nächsten Tag bat ich um eine Berufung, und der Anwalt wies separat darauf hin, dass der Zeitpunkt der Entlassung umstritten sei, dass das Gericht keine spezifische Form meiner Beteiligung an der angeblichen Fälschung feststelle und in vielerlei Hinsicht aus der Logik der Umstände folgere.</w:t>
      </w:r>
      <w:r>
        <w:lastRenderedPageBreak/>
        <w:t/>
      </w:r>
    </w:p>
    <w:p w14:paraId="6828FBFB" w14:textId="77777777" w:rsidR="00D67E55" w:rsidRDefault="00F266ED">
      <w:r>
        <w:t>Am 12. August, noch bevor ich meinen Arbeitsbescheid erhalten habe, hat die österreichische Staatsanwaltschaft für Wirtschaftskriminalität und Korruption, WKStA, zusätzliche strafrechtliche Ermittlungen in Auftrag gegeben, das Dokument, das im Verdacht steht, schweren Betrug im Zusammenhang mit der umstrittenen Vollmacht und IP-Übertragungen zu erleichtern; die Staatsanwaltschaft hat die erneute Vernehmung von Zeugen und die Einholung von Korrespondenz am 19. September beantragt, ein Verdacht ist eine ernste Sache, aber es ist immer noch ein Ermittlungsstadium, kein feststehender Fehler. Nach meiner aktuellen Einschätzung werden wahrscheinlich nur Anton und GD zur Zeugenverifizierung erscheinen; dies ist eine Arbeitswarte, keine bestätigte Liste.</w:t>
      </w:r>
      <w:r>
        <w:t/>
      </w:r>
    </w:p>
    <w:p w14:paraId="0757C6B2" w14:textId="77777777" w:rsidR="00D67E55" w:rsidRDefault="00F266ED">
      <w:r>
        <w:t>Für die Nachwelt lasse ich eine einfache Regel: Wenn es einen Gerichtsbeschluss gegen unsere Version im Archiv gibt, kann er nicht versteckt werden, aber er kann nicht einer größeren rechtlichen Bedeutung zugeschrieben werden, als er hat, die Instanz, der Gegenstand, der Beweisstandard und die Möglichkeit der Berufung sind Teil der Tatsache.</w:t>
      </w:r>
    </w:p>
    <w:p w14:paraId="4D6E4D77" w14:textId="77777777" w:rsidR="00D67E55" w:rsidRDefault="00F266ED">
      <w:pPr>
        <w:pStyle w:val="21"/>
        <w:pageBreakBefore/>
      </w:pPr>
      <w:r>
        <w:rPr>
          <w:rFonts w:ascii="Arial" w:hAnsi="Arial"/>
          <w:sz w:val="20"/>
        </w:rPr>
        <w:lastRenderedPageBreak/>
        <w:t>34. Archiv gegen Erinnerung</w:t>
      </w:r>
    </w:p>
    <w:p w14:paraId="1B9EADEB" w14:textId="77777777" w:rsidR="00D67E55" w:rsidRDefault="00F266ED">
      <w:pPr>
        <w:pStyle w:val="NoIndent"/>
        <w:spacing w:line="240" w:lineRule="auto" w:before="0" w:after="0"/>
        <w:rPr>
          <w:rFonts w:hint="eastAsia"/>
        </w:rPr>
      </w:pPr>
      <w:r>
        <w:rPr>
          <w:rFonts w:ascii="Arial" w:hAnsi="Arial"/>
          <w:sz w:val="20"/>
        </w:rPr>
        <w:t>Im Laufe der Jahre habe ich mehr alte Briefe gelesen, als wahrscheinlich jeder andere über sein eigenes Leben lesen sollte. Es ist eine seltsame Erfahrung. Man trifft sich in einer Vergangenheit, die die Zukunft noch nicht kennt.</w:t>
      </w:r>
    </w:p>
    <w:p w14:paraId="3182C220" w14:textId="77777777" w:rsidR="00D67E55" w:rsidRDefault="00F266ED">
      <w:pPr>
        <w:spacing w:line="240" w:lineRule="auto" w:before="0" w:after="0"/>
      </w:pPr>
      <w:r>
        <w:t>Der Nutzen dieses Archivs liegt gerade darin, dass es an später Weisheit mangelt, und wenn Anton über Verhandlungen und Zeitgewinn im April 2025 schreibt, ist es stärker als meine Interpretation seines Motivs heute. Wenn Term Sheet ein Dubai IP-Szenario am 31. August beschreibt, ist es stärker als jede späte Behauptung, dass ein solches Projekt plötzlich entstanden ist, und wenn Anwälte am 12. Mai über die Ablehnung der meisten Änderungen schreiben, zeigt es ihre Einschätzung zum Zeitpunkt des Deals.</w:t>
      </w:r>
    </w:p>
    <w:p w14:paraId="005E107C" w14:textId="77777777" w:rsidR="00D67E55" w:rsidRDefault="00F266ED">
      <w:pPr>
        <w:spacing w:line="240" w:lineRule="auto" w:before="0" w:after="0"/>
      </w:pPr>
      <w:r>
        <w:t>Aber das Archiv ist auch nicht allmächtig. Ein Brief kann nur einen Teil eines Gesprächs widerspiegeln. Eine Person könnte mehr wissen, als sie geschrieben hat. Ein Anhang könnte eine andere Version haben. Eine mündliche Entscheidung könnte nicht in die Post gelangen, so dass das Fehlen eines Briefes nicht automatisch in das Fehlen eines Ereignisses umgewandelt werden kann.</w:t>
      </w:r>
    </w:p>
    <w:p w14:paraId="33AB03C5" w14:textId="77777777" w:rsidR="00D67E55" w:rsidRDefault="00F266ED">
      <w:pPr>
        <w:spacing w:line="240" w:lineRule="auto" w:before="0" w:after="0"/>
      </w:pPr>
      <w:r>
        <w:t>Meine Formel lautete: Ein Dokument begrenzt das Gedächtnis, aber es ersetzt es nicht; das Gedächtnis erklärt das Dokument, aber es kann es nicht umschreiben. Es muss eine ehrliche Lücke zwischen ihnen geben.</w:t>
      </w:r>
    </w:p>
    <w:p w14:paraId="42BC622D" w14:textId="77777777" w:rsidR="00D67E55" w:rsidRDefault="00F266ED">
      <w:pPr>
        <w:pStyle w:val="21"/>
        <w:jc w:val="both"/>
      </w:pPr>
      <w:r>
        <w:rPr>
          <w:rFonts w:ascii="Arial" w:hAnsi="Arial"/>
          <w:sz w:val="20"/>
        </w:rPr>
        <w:t>Schreiben vom 8. Juli</w:t>
      </w:r>
    </w:p>
    <w:p w14:paraId="500F36C2" w14:textId="77777777" w:rsidR="00D67E55" w:rsidRDefault="00F266ED">
      <w:pPr>
        <w:spacing w:line="240" w:lineRule="auto" w:before="0" w:after="0"/>
      </w:pPr>
      <w:r>
        <w:t>Die ursprüngliche EML war wichtiger als der übliche Ausdruck des Briefes. Sie zeigt, dass ich Dimitrios am 8. Juli, als ich außerhalb Österreichs war, fertige russische und deutsche Fassungen einer einfachen Vollmacht geschickt habe, ihn direkt gebeten habe, das Dokument zu unterschreiben und es auf meinem Schreibtisch zu lassen.</w:t>
      </w:r>
    </w:p>
    <w:p w14:paraId="72B48538" w14:textId="77777777" w:rsidR="00D67E55" w:rsidRDefault="00F266ED">
      <w:pPr>
        <w:spacing w:line="240" w:lineRule="auto" w:before="0" w:after="0"/>
      </w:pPr>
      <w:r>
        <w:t>Später vor Gericht sagte ich, dass ich nach meiner Rückkehr die Vollmacht von meinem Schreibtisch in Wien nahm, und das Zusammentreffen dieses speziellen Details mit dem Brief stärkt die Konsistenz meiner Geschichte, aber es beantwortet nicht die technische Hauptfrage: Wer hat die Papierkopie tatsächlich unterschrieben, und das ist die Grenze, die das Buch einhalten sollte.</w:t>
      </w:r>
    </w:p>
    <w:p w14:paraId="12679FE5" w14:textId="77777777" w:rsidR="00D67E55" w:rsidRDefault="00F266ED">
      <w:pPr>
        <w:pStyle w:val="NoIndent"/>
        <w:spacing w:line="240" w:lineRule="auto" w:before="0" w:after="0"/>
        <w:rPr>
          <w:rFonts w:hint="eastAsia"/>
        </w:rPr>
      </w:pPr>
      <w:r>
        <w:rPr>
          <w:rFonts w:ascii="Arial" w:hAnsi="Arial"/>
          <w:sz w:val="20"/>
        </w:rPr>
        <w:t>Im August 2026 fand ich ein Dokument, das fast ein Lehrbuchbeispiel dafür war, warum ich ein Archiv brauchte, und das ist die Originalakte des Briefes vom 8. Juli 2024: Ich schreibe an Dimitrios Papadopoulos, ich kopiere Kristina Konyakhina, ich füge die russische und deutsche Version einer breiten Vollmacht bei, und ich bitte Sie, es zu unterschreiben und auf meinen Schreibtisch zu legen.</w:t>
      </w:r>
      <w:r>
        <w:rPr>
          <w:rFonts w:ascii="Arial" w:hAnsi="Arial"/>
          <w:sz w:val="20"/>
        </w:rPr>
        <w:lastRenderedPageBreak/>
        <w:t/>
      </w:r>
    </w:p>
    <w:p w14:paraId="2C6DD30F" w14:textId="77777777" w:rsidR="00D67E55" w:rsidRDefault="00F266ED">
      <w:pPr>
        <w:spacing w:line="240" w:lineRule="auto" w:before="0" w:after="0"/>
      </w:pPr>
      <w:r>
        <w:t>Der Anhang selbst ist nicht unterzeichnet, so dass der Brief nicht beweist, dass Dimitrios tatsächlich die Kopie der Vollmacht unterzeichnet hat, die später Gegenstand von Streitigkeiten wurde, aber er beweist das Gegenteil: Der Text selbst und der Antrag auf eine solche Vollmacht existierten am 8. Juli, vor dem August-Deal und vor der offenen Septemberkrise.</w:t>
      </w:r>
    </w:p>
    <w:p w14:paraId="0C46A924" w14:textId="77777777" w:rsidR="00D67E55" w:rsidRDefault="00F266ED">
      <w:pPr>
        <w:spacing w:line="240" w:lineRule="auto" w:before="0" w:after="0"/>
      </w:pPr>
      <w:r>
        <w:t>Fast gleichzeitig zeigte sich ein weiterer aufschlussreicher Kontrast. In meiner E-Mail vom 18./19. September bat ich Dimitrios, zwei andere Vollmachten notariell beglaubigen zu lassen: eine für NSP und eine für die Patentanwälte. In der Korrespondenz vom September werden Ermanchenko und Ischakova genannt. In der strittigen Verfahrenskopie Nr. 0337 C sind bereits Ermanchenko und Kuptsova angeführt; eine gesonderte weitreichende Vollmacht vom 8. Juli nennt hingegen mich und Kristina Konyakhina. Es handelt sich um unterschiedliche Bevollmächtigte und unterschiedliche Dokumente. Keiner der beiden September-Entwürfe berechtigte mich, im Namen von Megainpharm Verträge abzuschließen. Eine spätere Darstellung von „zwei Vollmachten“ kann daher nicht automatisch demselben Dokumentensatz zugeordnet werden. Daraus ziehe ich weder einen Schluss darüber, ob jemand gelogen hat, noch darüber, wer die strittige Unterschrift angefertigt hat. Die ursprüngliche E-Mail, beide Anlagen und jede endgültige Ausfertigung müssen nebeneinander geprüft werden: Namen, Daten, Aktenzeichen, Befugnisse und Unterschriften. Die nachteilige Feststellung der ersten Instanz zu einer bestimmten endgültigen Vollmacht macht nicht sämtliche September-Entwürfe zu Fälschungen.</w:t>
      </w:r>
      <w:r>
        <w:t/>
      </w:r>
    </w:p>
    <w:p w14:paraId="0DD37085" w14:textId="77777777" w:rsidR="00D67E55" w:rsidRDefault="00F266ED">
      <w:pPr>
        <w:spacing w:line="240" w:lineRule="auto" w:before="0" w:after="0"/>
      </w:pPr>
      <w:r>
        <w:t>Hier ist das Archiv stärker als das Vertrauen der Familie, und wir können uns alle an diese Vollmacht in zwei Jahren erinnern, wenn es tatsächlich mehrere gibt, und das Dokument gibt nicht immer eine endgültige Antwort, aber es lässt uns die richtige Frage stellen.</w:t>
      </w:r>
    </w:p>
    <w:p w14:paraId="039058C4" w14:textId="77777777" w:rsidR="00D67E55" w:rsidRDefault="00F266ED">
      <w:pPr>
        <w:spacing w:line="240" w:lineRule="auto" w:before="0" w:after="0"/>
      </w:pPr>
      <w:r>
        <w:t>Ich möchte, dass dieses Prinzip im Familienarchiv erhalten bleibt: Werfen Sie keine unbequemen Dokumente weg; hinterlassen Sie nicht nur die Briefe, die unsere Version unterstützen; wenn die Nachwelt jemals Geschichte braucht, lassen Sie sie das gesamte Spektrum sehen, nicht die bearbeitete Legende.</w:t>
      </w:r>
      <w:r>
        <w:lastRenderedPageBreak/>
        <w:t/>
      </w:r>
    </w:p>
    <w:p w14:paraId="53A9FE64" w14:textId="77777777" w:rsidR="00D67E55" w:rsidRDefault="00F266ED">
      <w:pPr>
        <w:pStyle w:val="21"/>
        <w:pageBreakBefore/>
      </w:pPr>
      <w:r>
        <w:rPr>
          <w:rFonts w:ascii="Arial" w:hAnsi="Arial"/>
          <w:sz w:val="20"/>
        </w:rPr>
        <w:lastRenderedPageBreak/>
        <w:t>35. Meine Fehler</w:t>
      </w:r>
    </w:p>
    <w:p w14:paraId="3B911C18" w14:textId="77777777" w:rsidR="00D67E55" w:rsidRDefault="00F266ED">
      <w:pPr>
        <w:pStyle w:val="NoIndent"/>
        <w:rPr>
          <w:rFonts w:hint="eastAsia"/>
        </w:rPr>
      </w:pPr>
      <w:r>
        <w:rPr>
          <w:rFonts w:ascii="Arial" w:hAnsi="Arial"/>
          <w:sz w:val="20"/>
        </w:rPr>
        <w:t>Das einfachste Ergebnis eines Konflikts ist ein Katalog von Fehlern anderer Leute. Das nützlichste ist eine eigene Liste.</w:t>
      </w:r>
    </w:p>
    <w:p w14:paraId="48EF8F6C" w14:textId="77777777" w:rsidR="00D67E55" w:rsidRDefault="00F266ED">
      <w:r>
        <w:t>Mein erster Fehler war zu glauben, dass Konsens ausreichend sei, und ich habe das Verständnis auf Gruppenebene zu oft als ein ausreichendes Mandat für die Exekutivarbeit wahrgenommen, und ein internationaler Rahmen erforderte mehr: den individuellen Unternehmenswillen jeder Einheit.</w:t>
      </w:r>
    </w:p>
    <w:p w14:paraId="295DFFBF" w14:textId="77777777" w:rsidR="00D67E55" w:rsidRDefault="00F266ED">
      <w:r>
        <w:t>Die zweite war die Konzentration der Funktion. Ich war zu sehr in viele Dinge gleichzeitig involviert, was die Arbeit schnell machte, aber es schuf eine persönliche Abhängigkeit und einen riesigen Dokumentarfilmpfad.</w:t>
      </w:r>
    </w:p>
    <w:p w14:paraId="1629103D" w14:textId="77777777" w:rsidR="00D67E55" w:rsidRDefault="00F266ED">
      <w:r>
        <w:t>Die dritte ist, dass es nicht genügend Dokumentation von Übergängen gibt, und wenn sich der Transaktionspreis, die Vertragsversion, die Zusammensetzung des Vermögenswertes oder die Rolle des Teilnehmers ändern, müssen wir den Grund in einer separaten Notiz aufzeichnen, und wir haben uns oft auf eine Buchstabenkette verlassen.</w:t>
      </w:r>
    </w:p>
    <w:p w14:paraId="4060C36F" w14:textId="77777777" w:rsidR="00D67E55" w:rsidRDefault="00F266ED">
      <w:r>
        <w:t>Die vierte ist eine schlechte Exit-Architektur, ein formelles Exit-Datum muss von einem vollständigen Widerruf des Zugangs und der Autorität begleitet werden, sonst ist die Macht weg und die Verantwortung scheint noch lebendig zu sein.</w:t>
      </w:r>
    </w:p>
    <w:p w14:paraId="5B3659E8" w14:textId="77777777" w:rsidR="00D67E55" w:rsidRDefault="00F266ED">
      <w:r>
        <w:t>Die fünfte ist die emotionale Eskalation. Als ich die Bedrohung für Vermögenswerte sah, fühlte ich mich berechtigt, hart und schnell zu reagieren, und heute glaube ich, dass im Unternehmenskonflikt die Reaktionsgeschwindigkeit oft weniger wichtig ist als die Qualität des Protokolls.</w:t>
      </w:r>
    </w:p>
    <w:p w14:paraId="4F23F84A" w14:textId="77777777" w:rsidR="00D67E55" w:rsidRDefault="00F266ED">
      <w:r>
        <w:t>Sechstens war der Wunsch, zu viel auf eine Art und Weise zu erklären, und vielleicht haben Einzelpersonen die Krise ausgenutzt, aber das System war fragil genug, dass ein Konflikt ohne einen einzigen Architekten entstehen konnte.</w:t>
      </w:r>
    </w:p>
    <w:p w14:paraId="31F91503" w14:textId="77777777" w:rsidR="00D67E55" w:rsidRDefault="00F266ED">
      <w:r>
        <w:t>Siebtens habe ich unterschätzt, wie sehr ein zukünftiger Streit nicht nur von der Bedeutung der Entscheidung, sondern auch vom Ursprung jeder Datei abhängen würde.</w:t>
      </w:r>
    </w:p>
    <w:p w14:paraId="3BA7DDAC" w14:textId="77777777" w:rsidR="00D67E55" w:rsidRDefault="00F266ED">
      <w:r>
        <w:t>Diese Fehler einzugestehen bedeutet nicht, mit den Handlungen anderer einverstanden zu sein; es bedeutet, sich zu weigern, dein eigenes Gedächtnis auf Unfehlbarkeit aufzubauen.</w:t>
      </w:r>
    </w:p>
    <w:p w14:paraId="31EFD133" w14:textId="77777777" w:rsidR="00D67E55" w:rsidRDefault="00F266ED">
      <w:pPr>
        <w:pStyle w:val="21"/>
        <w:pageBreakBefore/>
      </w:pPr>
      <w:r>
        <w:rPr>
          <w:rFonts w:ascii="Arial" w:hAnsi="Arial"/>
          <w:sz w:val="20"/>
        </w:rPr>
        <w:lastRenderedPageBreak/>
        <w:t>36. Was ich dennoch für richtig halte</w:t>
      </w:r>
    </w:p>
    <w:p w14:paraId="58395077" w14:textId="77777777" w:rsidR="00D67E55" w:rsidRDefault="00F266ED">
      <w:pPr>
        <w:pStyle w:val="NoIndent"/>
        <w:rPr>
          <w:rFonts w:hint="eastAsia"/>
        </w:rPr>
      </w:pPr>
      <w:r>
        <w:rPr>
          <w:rFonts w:ascii="Arial" w:hAnsi="Arial"/>
          <w:sz w:val="20"/>
        </w:rPr>
        <w:t>Nach dem Fehlerkapitel ist es wichtig, das Gegenteil zu sagen, und ich glaube nicht, dass es ein Fehler ist, über die Idee der internationalen Umstrukturierung nachzudenken. Die Project Estate-Dokumente zeigen, dass das Problem der komplexen Struktur real war und die Übertragung von IP an eine freundliche Gerichtsbarkeit eine verständliche Geschäftslogik hatte.</w:t>
      </w:r>
    </w:p>
    <w:p w14:paraId="29D0D540" w14:textId="77777777" w:rsidR="00D67E55" w:rsidRDefault="00F266ED">
      <w:r>
        <w:t>Ich glaube nicht, dass es ein Fehler ist, geistiges Eigentum von den Risiken eines operativen Konflikts zu trennen, und man kann über den rechtlichen Weg, Genehmigungen und Preis streiten, aber es war rational, ein wichtiges Asset angesichts der Unsicherheit zu schützen.</w:t>
      </w:r>
    </w:p>
    <w:p w14:paraId="4B91C0EE" w14:textId="77777777" w:rsidR="00D67E55" w:rsidRDefault="00F266ED">
      <w:r>
        <w:t>Ich glaube nicht, dass es ein Fehler ist, professionelle Anwälte hinzuzuziehen und zu versuchen, ein klar asymmetrisches Käufer-SPA im Jahr 2025 umzuschreiben; ein verspäteter Verkauf macht keinen Verkäuferschutz "Sabotage".</w:t>
      </w:r>
    </w:p>
    <w:p w14:paraId="31A34BA5" w14:textId="77777777" w:rsidR="00D67E55" w:rsidRDefault="00F266ED">
      <w:r>
        <w:t>Und ich denke, es ist richtig, dass ich irgendwann anfing, Dokumente systematisch zu sammeln, nicht für den Krieg an sich, sondern weil Geschichte ohne Archiv zu einer Sammlung von sich gegenseitig ausschließenden Erinnerungen wurde.</w:t>
      </w:r>
    </w:p>
    <w:p w14:paraId="6099C2F8" w14:textId="77777777" w:rsidR="00D67E55" w:rsidRDefault="00F266ED">
      <w:r>
        <w:t>Die Hauptsache, die ich heute verteidige, ist das Recht auf Kontext: Die Unterschrift sollte mit dem Mandat beurteilt werden; die Entscheidung sollte mit der Person beurteilt werden, die sie akzeptiert hat; der Nutzen sollte mit der Person sein, die sie erhalten hat; die späten Handlungen der neuen Besitzer sind getrennt von der alten Macht; es ist kein Versuch, sich der Verantwortung zu entziehen, sondern ein Versuch, sie durch echte Rollen zu verteilen.</w:t>
      </w:r>
    </w:p>
    <w:p w14:paraId="05D98F9F" w14:textId="77777777" w:rsidR="00D67E55" w:rsidRDefault="00F266ED">
      <w:pPr>
        <w:pStyle w:val="21"/>
        <w:pageBreakBefore/>
      </w:pPr>
      <w:r>
        <w:rPr>
          <w:rFonts w:ascii="Arial" w:hAnsi="Arial"/>
          <w:sz w:val="20"/>
        </w:rPr>
        <w:lastRenderedPageBreak/>
        <w:t>37. Erbt meinen Konflikt nicht</w:t>
      </w:r>
    </w:p>
    <w:p w14:paraId="06676CFB" w14:textId="77777777" w:rsidR="00D67E55" w:rsidRDefault="00F266ED">
      <w:pPr>
        <w:pStyle w:val="NoIndent"/>
        <w:rPr>
          <w:rFonts w:hint="eastAsia"/>
        </w:rPr>
      </w:pPr>
      <w:r>
        <w:rPr>
          <w:rFonts w:ascii="Arial" w:hAnsi="Arial"/>
          <w:sz w:val="20"/>
        </w:rPr>
        <w:t>Ich weiß nicht, wann alle Prozesse vorbei sein werden oder ob die Beziehung zwischen den Menschen dieser Geschichte jemals vollständig wiederhergestellt wird, aber ich weiß, was ich nicht will: Diese Nachwelt, zusammen mit dem Archiv, hat die Pflicht, unsere Beschwerden fortzusetzen.</w:t>
      </w:r>
    </w:p>
    <w:p w14:paraId="48CC7EB9" w14:textId="77777777" w:rsidR="00D67E55" w:rsidRDefault="00F266ED">
      <w:r>
        <w:t>Das Familiengedächtnis ist gefährlich, weil es Feindseligkeiten länger übertragen kann als Fakten, weil ein Kind lernt, dass "diese Person falsch gehandelt hat", lange bevor es einen Vertrag, eine Vollmacht oder einen Kontext verstehen kann, und eine Generation später existiert ein Streit bereits als Legende, nicht als Ereignis.</w:t>
      </w:r>
    </w:p>
    <w:p w14:paraId="6826591E" w14:textId="77777777" w:rsidR="00D67E55" w:rsidRDefault="00F266ED">
      <w:r>
        <w:t>Also hinterlasse ich Ihnen die Papiere, aber ich überlasse Ihnen keine Feinde. Lesen Sie. Vergleichen Sie. Wenn nötig, schützen Sie Ihr Eigentum und Ihren Namen. Aber nehmen Sie meine emotionale Einschätzung nicht als eine ererbte Verpflichtung.</w:t>
      </w:r>
    </w:p>
    <w:p w14:paraId="2235D2E7" w14:textId="77777777" w:rsidR="00D67E55" w:rsidRDefault="00F266ED">
      <w:r>
        <w:t>Ich möchte, dass die Namen in diesem Buch im Laufe der Zeit zu einer Geschichte werden, anstatt ein Leitfaden für den Krieg, und vielleicht werden einige der Teilnehmer es eines Tages anders sehen, und vielleicht werden die Dokumente mein Verständnis der einzelnen Episoden verändern. Das ist okay.</w:t>
      </w:r>
    </w:p>
    <w:p w14:paraId="05E8BD31" w14:textId="77777777" w:rsidR="00D67E55" w:rsidRDefault="00F266ED">
      <w:r>
        <w:t>Es wäre eine schreckliche Sache, wenn die nächste Generation nur die Fähigkeit hätte, sich gegenseitig zu verklagen.</w:t>
      </w:r>
    </w:p>
    <w:p w14:paraId="4CAEA909" w14:textId="77777777" w:rsidR="00D67E55" w:rsidRDefault="00F266ED">
      <w:pPr>
        <w:pStyle w:val="1"/>
        <w:pageBreakBefore/>
        <w:spacing w:before="900" w:after="480"/>
        <w:jc w:val="center"/>
      </w:pPr>
      <w:r>
        <w:rPr>
          <w:rFonts w:ascii="Arial" w:hAnsi="Arial"/>
          <w:sz w:val="20"/>
        </w:rPr>
        <w:lastRenderedPageBreak/>
        <w:t>Teil VI. Porträts ohne Urteile</w:t>
      </w:r>
    </w:p>
    <w:p w14:paraId="6397ACDD" w14:textId="77777777" w:rsidR="00D67E55" w:rsidRDefault="00F266ED">
      <w:pPr>
        <w:pStyle w:val="21"/>
        <w:pageBreakBefore/>
      </w:pPr>
      <w:r>
        <w:rPr>
          <w:rFonts w:ascii="Arial" w:hAnsi="Arial"/>
          <w:sz w:val="20"/>
        </w:rPr>
        <w:lastRenderedPageBreak/>
        <w:t>38. Andrey Yuryevich: Familiäre Autorität und rechtlicher Wille</w:t>
      </w:r>
    </w:p>
    <w:p w14:paraId="4CCF7805" w14:textId="77777777" w:rsidR="00D67E55" w:rsidRDefault="00F266ED">
      <w:pPr>
        <w:pStyle w:val="NoIndent"/>
        <w:rPr>
          <w:rFonts w:hint="eastAsia"/>
        </w:rPr>
      </w:pPr>
      <w:r>
        <w:rPr>
          <w:rFonts w:ascii="Arial" w:hAnsi="Arial"/>
          <w:sz w:val="20"/>
        </w:rPr>
        <w:t>Im Familienunternehmen gibt es Menschen, deren wirkliche Rolle nicht in den Titel der Position passt, und Andrey Yuryevich gehörte für mich lange zu solchen Figuren, seine Position war nicht nur wichtig, weil sie mit bestimmten Rechten oder Aktien in Verbindung gebracht werden konnte, sie hatte familiäres und historisches Gewicht.</w:t>
      </w:r>
    </w:p>
    <w:p w14:paraId="4E3C3A92" w14:textId="77777777" w:rsidR="00D67E55" w:rsidRDefault="00F266ED">
      <w:r>
        <w:t>Und das ist besonders herausfordernd. Im Alltag werden die Worte einer Person mit hoher Autorität als Entscheidung wahrgenommen. Im Gesellschaftsrecht muss man sagen, wer die Entscheidung getroffen hat, an welches Unternehmen es sich richtet, und muss es formalisiert werden? Die Familie hört ja. Der Anwalt fragt: "Ja, von wem und in welcher Gerichtsbarkeit?"</w:t>
      </w:r>
    </w:p>
    <w:p w14:paraId="779FDC4F" w14:textId="77777777" w:rsidR="00D67E55" w:rsidRDefault="00F266ED">
      <w:r>
        <w:t>Deshalb gab es im Gespräch am 17. August 2024, das mir so wichtig war, kein separates Dokument: Ich erinnere mich an zwei positive Antworten auf die Frage der Übertragung des geistigen Eigentums an ein Unternehmen in Dubai. Anfang September unterstützte Andrey Yuryevich in Gesprächen mit mir und dem Büro in Wien erneut die Übersetzung, dies ist meine Version, die einen Vergleich mit Korrespondenz und Zeugnis erfordert; es ersetzt keine separate Überprüfung der Unternehmenszulassung von Megainpharm.</w:t>
      </w:r>
    </w:p>
    <w:p w14:paraId="4AD3CAC5" w14:textId="77777777" w:rsidR="00D67E55" w:rsidRDefault="00F266ED">
      <w:r>
        <w:t>Später wurden unsere Beziehungen und unsere Einschätzungen der Ereignisse in Streitigkeiten verwickelt, in denen es Geldfragen und Abtretung gab und verschiedene Vorstellungen darüber, wer was vereinbart hat. Ich möchte Andrey Yuryevich nicht nur durch diese Prozesse beschreiben.</w:t>
      </w:r>
    </w:p>
    <w:p w14:paraId="3A16BC03" w14:textId="77777777" w:rsidR="00D67E55" w:rsidRDefault="00F266ED">
      <w:r>
        <w:t>Für mich ist es eine Erinnerung daran, wie gefährlich es ist, ein System aufzubauen, in dem historische Autorität formalisierte Regierungsführung ersetzt, und solange die Menschen einander vertrauen, scheint es natürlich, und im Konflikt zwingt es jeden, herauszufinden, wo der Einfluss der Familie endete und der rechtliche Wille eines bestimmten Unternehmens begann.</w:t>
      </w:r>
    </w:p>
    <w:p w14:paraId="15378DC4" w14:textId="77777777" w:rsidR="00D67E55" w:rsidRDefault="00F266ED">
      <w:pPr>
        <w:pStyle w:val="21"/>
        <w:pageBreakBefore/>
      </w:pPr>
      <w:r>
        <w:rPr>
          <w:rFonts w:ascii="Arial" w:hAnsi="Arial"/>
          <w:sz w:val="20"/>
        </w:rPr>
        <w:lastRenderedPageBreak/>
        <w:t>39. Vyacheslav Sidorov: Zeuge des frühen Kontexts</w:t>
      </w:r>
    </w:p>
    <w:p w14:paraId="0F466768" w14:textId="77777777" w:rsidR="00D67E55" w:rsidRDefault="00F266ED">
      <w:pPr>
        <w:pStyle w:val="NoIndent"/>
        <w:rPr>
          <w:rFonts w:hint="eastAsia"/>
        </w:rPr>
      </w:pPr>
      <w:r>
        <w:rPr>
          <w:rFonts w:ascii="Arial" w:hAnsi="Arial"/>
          <w:sz w:val="20"/>
        </w:rPr>
        <w:t>Wjatscheslaw Sidorow nimmt einen besonderen Platz in dieser Geschichte ein, weil seine Korrespondenz dazu beiträgt, die Ereignisse zu überprüfen, bevor der Konflikt schließlich die Lager bildete. Für den forensischen Wiederaufbau sind solche Zeugen besonders wertvoll: Es geht nicht um die spätere Sympathie für eine Seite, sondern darum, was eine Person geschrieben und an den Höhepunkt getan hat.</w:t>
      </w:r>
    </w:p>
    <w:p w14:paraId="1AF9B409" w14:textId="77777777" w:rsidR="00D67E55" w:rsidRDefault="00F266ED">
      <w:r>
        <w:t>Die Dokumente zeigen seine praktische Beteiligung an der UAE-Schaltung, die KYC durchlaufen, Unternehmensdokumente erhalten, die nächsten Schritte diskutieren, sein frühes Bewusstsein zu einer starken Tatsache machen, während er in anderen Episoden Fragen der finanziellen Transparenz aufwarf und einzelne Erklärungen kritisierte, was um Megainpharm herum geschah.</w:t>
      </w:r>
    </w:p>
    <w:p w14:paraId="787C7A09" w14:textId="77777777" w:rsidR="00D67E55" w:rsidRDefault="00F266ED">
      <w:r>
        <w:t>Ich möchte Sidorow nicht zu einem "Zeugen für meinen Punkt" machen, was eine andere Form der Vereinfachung wäre: Seine eigenen Interessen, Ansichten und Aktionärsposition sollten separat beurteilt werden, aber es sind die frühen Dokumente, die ihn zu einer wichtigen Kontrollquelle machen.</w:t>
      </w:r>
    </w:p>
    <w:p w14:paraId="5A629105" w14:textId="77777777" w:rsidR="00D67E55" w:rsidRDefault="00F266ED">
      <w:r>
        <w:t>Für die Nachwelt ist ein allgemeiner Grundsatz hilfreich: Wenn ein Familienstreit beginnt, suchen Sie nicht nach demjenigen, der Sie heute lauter unterstützt, sondern nach den Dokumenten von Menschen, die vor dem Konflikt geschrieben haben.</w:t>
      </w:r>
    </w:p>
    <w:p w14:paraId="1262606F" w14:textId="77777777" w:rsidR="00D67E55" w:rsidRDefault="00F266ED">
      <w:pPr>
        <w:pStyle w:val="21"/>
        <w:pageBreakBefore/>
      </w:pPr>
      <w:r>
        <w:rPr>
          <w:rFonts w:ascii="Arial" w:hAnsi="Arial"/>
          <w:sz w:val="20"/>
        </w:rPr>
        <w:t>40. Oksana Kirpenko und Adolina Rudko: Zwischen Mehrheit und Verfahren</w:t>
      </w:r>
    </w:p>
    <w:p w14:paraId="631A4037" w14:textId="77777777" w:rsidR="00D67E55" w:rsidRDefault="00F266ED">
      <w:pPr>
        <w:pStyle w:val="NoIndent"/>
        <w:rPr>
          <w:rFonts w:hint="eastAsia"/>
        </w:rPr>
      </w:pPr>
      <w:r>
        <w:rPr>
          <w:rFonts w:ascii="Arial" w:hAnsi="Arial"/>
          <w:sz w:val="20"/>
        </w:rPr>
        <w:t>Oksana Kirpenko hätte leicht mit 68 Prozent beschrieben und dort geendet werden können, und ich denke, das wäre ein Fehler gewesen, und ihre Bedeutung in der September-Korrespondenz bestand auch darin, zu versuchen, den Konflikt in eine kollektive Diskussion zu übersetzen, als die Teilnehmer bereits begannen, die Sprache der Anmaßung zu sprechen.</w:t>
      </w:r>
    </w:p>
    <w:p w14:paraId="011E592C" w14:textId="77777777" w:rsidR="00D67E55" w:rsidRDefault="00F266ED">
      <w:r>
        <w:t>In einer der zeitgleichen Episoden erlaubte sie, das Markenproblem mit einer früheren Kontur der Aktionärsentscheidungen zu verknüpfen, und für meine Version der Geschichte ist es ein wichtiges Element, weil es nicht mit dem Begriff einer völlig plötzlichen und unbekannten IP-Architektur übereinstimmt, aber es ist nicht dasselbe wie die Genehmigung eines bestimmten Vertrags.</w:t>
      </w:r>
    </w:p>
    <w:p w14:paraId="044FA2A3" w14:textId="77777777" w:rsidR="00D67E55" w:rsidRDefault="00F266ED">
      <w:r>
        <w:t>Später wurden die 68 % fast zu einem Symbol, aber die Symbole sind in einem Rechtsstreit gefährlich: Sie geben ein Gefühl für die ultimative Antwort, und ich bevorzuge es, diese Zahl als Indikator für eine mögliche Unterstützung für die Richtung auf Gruppenebene zu sehen, anstatt als Zauberschlüssel für die Zustimmung der österreichischen Unternehmen.</w:t>
      </w:r>
    </w:p>
    <w:p w14:paraId="7E1EFCC9" w14:textId="77777777" w:rsidR="00D67E55" w:rsidRDefault="00F266ED">
      <w:r>
        <w:t>Das Porträt von Kirpenko in meinem Gedächtnis ist daher mit einer doppelten Lektion verbunden: Die Mehrheit ist wichtig, aber das Verfahren ist auch wichtig, und wenn diese beiden Ebenen nicht übereinstimmen, müssen Sie die Lücke vor dem Deal schließen, nicht nach dem Konflikt erklären.</w:t>
      </w:r>
    </w:p>
    <w:p w14:paraId="05D4B1DA" w14:textId="77777777" w:rsidR="00D67E55" w:rsidRDefault="00F266ED">
      <w:pPr>
        <w:pStyle w:val="21"/>
        <w:pageBreakBefore/>
      </w:pPr>
      <w:r>
        <w:rPr>
          <w:rFonts w:ascii="Arial" w:hAnsi="Arial"/>
          <w:sz w:val="20"/>
        </w:rPr>
        <w:lastRenderedPageBreak/>
        <w:t>41. NSP: Wenn externe Juristen Teil der Überlieferung werden</w:t>
      </w:r>
    </w:p>
    <w:p w14:paraId="4BB7B1F7" w14:textId="77777777" w:rsidR="00D67E55" w:rsidRDefault="00F266ED">
      <w:pPr>
        <w:pStyle w:val="NoIndent"/>
        <w:rPr>
          <w:rFonts w:hint="eastAsia"/>
        </w:rPr>
      </w:pPr>
      <w:r>
        <w:rPr>
          <w:rFonts w:ascii="Arial" w:hAnsi="Arial"/>
          <w:sz w:val="20"/>
        </w:rPr>
        <w:t>Anwälte werden selten in Familienerinnerungen aufgenommen, aber in unserer Geschichte sind NSPs zu einer der zuverlässigsten Uhren geworden: Ihre Briefe und Berichte zeigen, was an einem bestimmten Tag besprochen wurde, welche Risiken der professionelle Berater sah und wo genau die vertretenen Interessen nicht mehr übereinstimmen.</w:t>
      </w:r>
    </w:p>
    <w:p w14:paraId="61332C4B" w14:textId="77777777" w:rsidR="00D67E55" w:rsidRDefault="00F266ED">
      <w:r>
        <w:t>Im April-Mai 2025 analysierten sie SPAs, bereiteten verkäuferseitige Bearbeitungen vor, diskutierten Verhandlungsstrategien und dokumentierten geistige Eigentumsrisiken, und ihr Bericht ist auch wichtig, weil er den Umfang der Arbeit zeigt, die in meinem Interesse als Treuhänder durchgeführt wurde.</w:t>
      </w:r>
    </w:p>
    <w:p w14:paraId="033711BE" w14:textId="77777777" w:rsidR="00D67E55" w:rsidRDefault="00F266ED">
      <w:r>
        <w:t>Die Episode vom 15. Mai ist mir besonders wichtig, weil die Anwälte nicht sagten: "Eugene und Anton hatten einen Kampf", aber sie beschrieben das berufsethische Problem der inkompatiblen Interessen, die viel genauer sind als die menschliche Legende, die später aufgekommen sein könnte.</w:t>
      </w:r>
    </w:p>
    <w:p w14:paraId="72B046FD" w14:textId="77777777" w:rsidR="00D67E55" w:rsidRDefault="00F266ED">
      <w:r>
        <w:t>Das Paradoxe bei guten Anwälten ist, dass sie, solange sie in Ordnung sind, eine Quelle zusätzlicher Formalität zu sein scheinen, und nach einem Konflikt ist es diese Formalität, die zu einer Erinnerung wird, der man mehr vertrauen kann als deinen eigenen Emotionen.</w:t>
      </w:r>
    </w:p>
    <w:p w14:paraId="6FA0551D" w14:textId="77777777" w:rsidR="00D67E55" w:rsidRDefault="00F266ED">
      <w:r>
        <w:t>Wenn Nachkommen ein kompliziertes Geschäft haben, ist der Ratschlag einfach: Ein Anwalt sollte nicht nur dann anwesend sein, wenn es notwendig ist, zu klagen, sondern sein Hauptwert ist es, das richtige Dokument an dem Tag zu hinterlassen, an dem niemand über das Gericht nachdenkt.</w:t>
      </w:r>
    </w:p>
    <w:p w14:paraId="74EE3E61" w14:textId="77777777" w:rsidR="00D67E55" w:rsidRDefault="00F266ED">
      <w:pPr>
        <w:pStyle w:val="21"/>
        <w:pageBreakBefore/>
      </w:pPr>
      <w:r>
        <w:rPr>
          <w:rFonts w:ascii="Arial" w:hAnsi="Arial"/>
          <w:sz w:val="20"/>
        </w:rPr>
        <w:lastRenderedPageBreak/>
        <w:t>42. Der Käufer: Die Rationalität eines Außenstehenden</w:t>
      </w:r>
    </w:p>
    <w:p w14:paraId="72DC1163" w14:textId="77777777" w:rsidR="00D67E55" w:rsidRDefault="00F266ED">
      <w:pPr>
        <w:pStyle w:val="NoIndent"/>
        <w:rPr>
          <w:rFonts w:hint="eastAsia"/>
        </w:rPr>
      </w:pPr>
      <w:r>
        <w:rPr>
          <w:rFonts w:ascii="Arial" w:hAnsi="Arial"/>
          <w:sz w:val="20"/>
        </w:rPr>
        <w:t>In familiären Konflikten wird der Käufer leicht in einen moralischen Charakter verwandelt: Ein Retter, ein Eindringling, ein Verbündeter einer Seite, tatsächlich handelt der große Käufer in erster Linie in seiner eigenen wirtschaftlichen Logik.</w:t>
      </w:r>
    </w:p>
    <w:p w14:paraId="7F93F06E" w14:textId="77777777" w:rsidR="00D67E55" w:rsidRDefault="00F266ED">
      <w:r>
        <w:t>Im Frühjahr 2025 war der Käufer-Side-SPA hart, verlagerte erhebliche Risiken auf den Verkäufer, forderte Garantien und verließ den Käuferraum, um sein eigenes Ergebnis zu schützen, und ich empfand einige der Bedingungen als übertrieben, und Anwälte sahen auch erhebliche Verkäufer-Side-Risiken.</w:t>
      </w:r>
    </w:p>
    <w:p w14:paraId="697BBAB2" w14:textId="77777777" w:rsidR="00D67E55" w:rsidRDefault="00F266ED">
      <w:r>
        <w:t>Daraus folgt jedoch nicht, dass der Käufer sich um unser Familiengleichgewicht kümmern sollte, dass die Aufgabe des Käufers darin bestand, den Vermögenswert mit der geringstmöglichen Unsicherheit zu erhalten, und dass der Käufer, wenn die Verkäufer mit einem bestehenden Konflikt über IP, Governance und Autorität zu tun haben, unweigerlich versuchen wird, diese Unsicherheit in Garantien, Bedingungen und Kontrolle umzuwandeln.</w:t>
      </w:r>
    </w:p>
    <w:p w14:paraId="4AB63FEA" w14:textId="77777777" w:rsidR="00D67E55" w:rsidRDefault="00F266ED">
      <w:r>
        <w:t>Dies ist eine der frustrierendsten Lektionen für ein Familienunternehmen: Der Markt muss nicht warten, bis die Familie zustimmt; interne Schwäche wird Teil des Schnäppchenpreises; Je schlechter die Eigentümer mit einer Stimme sprechen können, desto stärker ist die Position der Außenseiter.</w:t>
      </w:r>
    </w:p>
    <w:p w14:paraId="4CBEDA82" w14:textId="77777777" w:rsidR="00D67E55" w:rsidRDefault="00F266ED">
      <w:r>
        <w:t>So kann man nicht das gesamte Verhalten des Käufers als Teil unseres internen Dramas erklären, und selbst wenn es später Hinweise auf individuelle parallele Begegnungen gibt, bleibt die zugrunde liegende wirtschaftliche Motivation des Käufers unabhängig.</w:t>
      </w:r>
    </w:p>
    <w:p w14:paraId="50D199A6" w14:textId="77777777" w:rsidR="00D67E55" w:rsidRDefault="00F266ED">
      <w:pPr>
        <w:pStyle w:val="1"/>
        <w:pageBreakBefore/>
        <w:spacing w:before="900" w:after="480"/>
        <w:jc w:val="center"/>
      </w:pPr>
      <w:r>
        <w:rPr>
          <w:rFonts w:ascii="Arial" w:hAnsi="Arial"/>
          <w:sz w:val="20"/>
        </w:rPr>
        <w:lastRenderedPageBreak/>
        <w:t>Teil VII. Praktisches Vermächtnis</w:t>
      </w:r>
    </w:p>
    <w:p w14:paraId="140048C7" w14:textId="77777777" w:rsidR="00D67E55" w:rsidRDefault="00F266ED">
      <w:pPr>
        <w:pStyle w:val="21"/>
        <w:pageBreakBefore/>
      </w:pPr>
      <w:r>
        <w:rPr>
          <w:rFonts w:ascii="Arial" w:hAnsi="Arial"/>
          <w:sz w:val="20"/>
        </w:rPr>
        <w:lastRenderedPageBreak/>
        <w:t>43. Familienverfassung: Zwölf Regeln, die ich im Voraus festgelegt hätte</w:t>
      </w:r>
    </w:p>
    <w:p w14:paraId="69F4BB1B" w14:textId="77777777" w:rsidR="00D67E55" w:rsidRDefault="00F266ED">
      <w:pPr>
        <w:pStyle w:val="NoIndent"/>
        <w:rPr>
          <w:rFonts w:hint="eastAsia"/>
        </w:rPr>
      </w:pPr>
      <w:r>
        <w:rPr>
          <w:rFonts w:ascii="Arial" w:hAnsi="Arial"/>
          <w:sz w:val="20"/>
        </w:rPr>
        <w:t>Die erste Regel ist, dass ein Familienunternehmen eine schriftliche Verfassung haben sollte, nicht eine hundertseitige juristische Abhandlung, sondern ein klares Dokument darüber, wer strategische Entscheidungen trifft, wie das Management ernannt wird, wie Konflikte gelöst werden und wie ein Verwandter aus dem Geschäft aussteigen kann, ohne die Familie zu zerstören.</w:t>
      </w:r>
    </w:p>
    <w:p w14:paraId="6CBAD937" w14:textId="77777777" w:rsidR="00D67E55" w:rsidRDefault="00F266ED">
      <w:r>
        <w:t>Zweitens müssen die wirtschaftliche Mehrheit und die gesetzliche Abstimmung zusammengefaßt werden, man kann nicht in Begriffen wie "wir haben so viel Interesse" leben, und man muss für jedes Unternehmen sehen, wer abstimmt, wer abstimmt und welche Themen eine qualifizierte Mehrheit erfordern.</w:t>
      </w:r>
    </w:p>
    <w:p w14:paraId="572C0E16" w14:textId="77777777" w:rsidR="00D67E55" w:rsidRDefault="00F266ED">
      <w:r>
        <w:t>Drittens müssen die Entscheidungsbefugnis und die Befugnis, sie auszuführen, getrennt werden, und die Person mit einer Vollmacht darf nicht gezwungen werden zu erraten, ob die mündliche Unterstützung der Eigentümer ausreicht, um eine größere Transaktion zu rechtfertigen.</w:t>
      </w:r>
    </w:p>
    <w:p w14:paraId="50254C9D" w14:textId="77777777" w:rsidR="00D67E55" w:rsidRDefault="00F266ED">
      <w:r>
        <w:t>Viertens wird jede Änderung des Preises eines erheblichen Vermögenswertes in einer separaten Notiz geschrieben: Was sich geändert hat, warum, wer welchen neuen Perimeter vorgeschlagen hat, wer genehmigt hat, es scheint vor dem ersten Prozess wie Bürokratie zu sein.</w:t>
      </w:r>
    </w:p>
    <w:p w14:paraId="41F90F15" w14:textId="77777777" w:rsidR="00D67E55" w:rsidRDefault="00F266ED">
      <w:r>
        <w:t>Fünftens sollte nicht eine Person der einzige Kanal zwischen den Eigentümern, der Bank, den Finanzdienstleistungen und dem Unternehmen sein, sondern das Informationsmonopol schafft Macht, unabhängig von der Position.</w:t>
      </w:r>
    </w:p>
    <w:p w14:paraId="0AC46FA0" w14:textId="77777777" w:rsidR="00D67E55" w:rsidRDefault="00F266ED">
      <w:r>
        <w:t>Sechstens muss geistiges Eigentum ein separates Governance-Modell haben: Wer bestimmt die Strategie, wer besitzt, wer lizenziert, wer bewertet, wer kontrolliert Zahlungen. IP ist zu wichtig, um "durch gemeinsames Verständnis" verwaltet zu werden.</w:t>
      </w:r>
    </w:p>
    <w:p w14:paraId="2CFAFC2E" w14:textId="77777777" w:rsidR="00D67E55" w:rsidRDefault="00F266ED">
      <w:r>
        <w:t>Siebtens sind große Kredite zwischen Verwandten strenger als Kredite zwischen Fremden, und die Familie reduziert das Risiko nicht, es macht nachfolgende Streitigkeiten schmerzhafter.</w:t>
      </w:r>
    </w:p>
    <w:p w14:paraId="33A94D40" w14:textId="77777777" w:rsidR="00D67E55" w:rsidRDefault="00F266ED">
      <w:r>
        <w:t>Achtens muss ein Familienunternehmen einen unabhängigen Vorgesetzten, einen Berater, einen Direktor oder einen Verwaltungsrat haben, die von einem Familienlager unabhängig sind, keine Familie führen, sondern ihnen rechtzeitig mitteilen, dass das System nicht mehr funktioniert.</w:t>
      </w:r>
    </w:p>
    <w:p w14:paraId="0105503E" w14:textId="77777777" w:rsidR="00D67E55" w:rsidRDefault="00F266ED">
      <w:r>
        <w:lastRenderedPageBreak/>
        <w:t>Neuntens, wenn ein ernsthafter Konflikt auftritt, wird die Einfrierungsperiode automatisch aktiviert, keine größeren Veräußerungen, Änderungen der Schlüsselbefugnisse und irreversible Aktionen innerhalb eines vorgegebenen Zeitrahmens ohne ein spezielles Verfahren, zuerst wird der Status quo beibehalten, dann werden die Ansprüche diskutiert.</w:t>
      </w:r>
    </w:p>
    <w:p w14:paraId="43E412A5" w14:textId="77777777" w:rsidR="00D67E55" w:rsidRDefault="00F266ED">
      <w:r>
        <w:t>Zehntens ist der Abgang der Exekutive Checkliste: Vollmachten, Banken, Unterschriften, Zugriffe, E-Mail, Archive, Auftragnehmer, Empfehlungen, keine grauen Bereiche, wo die Person bereits verlassen hat, aber sie werden immer noch als Manager wahrgenommen.</w:t>
      </w:r>
    </w:p>
    <w:p w14:paraId="1FAC1FA8" w14:textId="77777777" w:rsidR="00D67E55" w:rsidRDefault="00F266ED">
      <w:r>
        <w:t>Elftens: Familienstreitigkeiten werden nicht als moralisches Erbe an Kinder weitergegeben; Nachkommen sollten ein Archiv und das Recht erhalten, ihre eigenen Schlüsse zu ziehen, keine vorgefertigte Liste von Menschen, die als Feinde betrachtet werden.</w:t>
      </w:r>
    </w:p>
    <w:p w14:paraId="29473B90" w14:textId="77777777" w:rsidR="00D67E55" w:rsidRDefault="00F266ED">
      <w:r>
        <w:t>Zwölftens: Die Kosten für die Aufrechterhaltung der Kontrolle müssen regelmäßig mit den Kosten für die Aufrechterhaltung einer Beziehung verglichen werden; Unternehmen können verkauft, geteilt, umstrukturiert und wieder aufgebaut werden; Familiengeschichte ist nach Jahrzehnten des Krieges viel schwieriger zu rekonstruieren.</w:t>
      </w:r>
    </w:p>
    <w:p w14:paraId="2CC4BA63" w14:textId="77777777" w:rsidR="00D67E55" w:rsidRDefault="00F266ED">
      <w:pPr>
        <w:pStyle w:val="21"/>
        <w:pageBreakBefore/>
      </w:pPr>
      <w:r>
        <w:rPr>
          <w:rFonts w:ascii="Arial" w:hAnsi="Arial"/>
          <w:sz w:val="20"/>
        </w:rPr>
        <w:lastRenderedPageBreak/>
        <w:t>44. Wenn ich noch einmal anfangen könnte</w:t>
      </w:r>
    </w:p>
    <w:p w14:paraId="122F2EDA" w14:textId="77777777" w:rsidR="00D67E55" w:rsidRDefault="00F266ED">
      <w:pPr>
        <w:pStyle w:val="NoIndent"/>
        <w:rPr>
          <w:rFonts w:hint="eastAsia"/>
        </w:rPr>
      </w:pPr>
      <w:r>
        <w:rPr>
          <w:rFonts w:ascii="Arial" w:hAnsi="Arial"/>
          <w:sz w:val="20"/>
        </w:rPr>
        <w:t>Wenn ich in eine Zeit zurückgehen würde, in der das Geschäft wuchs und Konflikte unmöglich schienen, würde ich nicht versuchen, alle weiser zu machen.</w:t>
      </w:r>
    </w:p>
    <w:p w14:paraId="37250E3A" w14:textId="77777777" w:rsidR="00D67E55" w:rsidRDefault="00F266ED">
      <w:r>
        <w:t>Ich würde alle wirtschaftlichen Eigentümer einmal im Jahr sammeln, und ich würde Ihnen eine Karte zeigen: juristische Personen, Vermögenswerte, IP, Bankbefugnisse, tatsächliche Rollen, Schulden zwischen Verwandten, Vollmacht und potenzielle Interessenkonflikte, keine Präsentation des Erfolgs, sondern eine Karte der Sucht.</w:t>
      </w:r>
    </w:p>
    <w:p w14:paraId="239FA748" w14:textId="77777777" w:rsidR="00D67E55" w:rsidRDefault="00F266ED">
      <w:r>
        <w:t>Ich würde verlangen, dass es für jedes wichtige Asset zwei Dokumente gibt: eine Strategieentscheidung und ein Leistungsdokument, so dass die Person, die den Vertrag unterschreibt, nicht mit der Frage allein gelassen wird, wer sich für die Transaktion entschieden hat.</w:t>
      </w:r>
    </w:p>
    <w:p w14:paraId="3EE13153" w14:textId="77777777" w:rsidR="00D67E55" w:rsidRDefault="00F266ED">
      <w:r>
        <w:t>Ich würde ein Verfahren für die obligatorische unabhängige Überprüfung von Transaktionen zwischen verwandten Parteien oder die Übertragung einer Schlüssel-IP schaffen, auch wenn jeder glaubt, dass der Preis fair ist, ist eine unabhängige Bewertung nicht nur für Steuern oder Gerichte - sie schützt die Beziehungen innerhalb der Familie.</w:t>
      </w:r>
    </w:p>
    <w:p w14:paraId="602E1185" w14:textId="77777777" w:rsidR="00D67E55" w:rsidRDefault="00F266ED">
      <w:r>
        <w:t>Ich hätte Familiengespräche von Firmentreffen getrennt, und am Familientisch kann man über Gefühle und Ängste und Fairness sprechen, man muss die Entscheidung an der Tafel beheben, und das Mischen dieser Plattformen macht beides schlimmer.</w:t>
      </w:r>
    </w:p>
    <w:p w14:paraId="62630962" w14:textId="77777777" w:rsidR="00D67E55" w:rsidRDefault="00F266ED">
      <w:r>
        <w:t>Und ich würde einen würdigen Ausstieg aushandeln, und jeder Teilnehmer sollte verstehen, wie er aufhören kann, Teil des Geschäfts zu sein, ohne automatisch zum Feind der anderen zu werden, und in der Lage zu sein, auszusteigen, ist eine der wichtigsten Garantien für gemeinsames Eigentum.</w:t>
      </w:r>
    </w:p>
    <w:p w14:paraId="0C6BEE4A" w14:textId="77777777" w:rsidR="00D67E55" w:rsidRDefault="00F266ED">
      <w:r>
        <w:t>Ich denke, selbst mit diesem System würden wir sowieso streiten. Menschen bleiben menschlich. Aber streiten muss nicht zur Zerstörung von Architektur werden. Gute Unternehmensführung macht Konflikte nicht unmöglich. Es verhindert, dass Konflikte der einzige Weg sind, zu regieren.</w:t>
      </w:r>
    </w:p>
    <w:p w14:paraId="23A13FC3" w14:textId="77777777" w:rsidR="00D67E55" w:rsidRDefault="00F266ED">
      <w:pPr>
        <w:pStyle w:val="1"/>
        <w:pageBreakBefore/>
        <w:spacing w:before="900" w:after="480"/>
        <w:jc w:val="center"/>
      </w:pPr>
      <w:r>
        <w:rPr>
          <w:rFonts w:ascii="Arial" w:hAnsi="Arial"/>
          <w:sz w:val="20"/>
        </w:rPr>
        <w:lastRenderedPageBreak/>
        <w:t>Epilog</w:t>
      </w:r>
    </w:p>
    <w:p w14:paraId="7C17DC20" w14:textId="77777777" w:rsidR="00D67E55" w:rsidRDefault="00F266ED">
      <w:pPr>
        <w:pStyle w:val="1"/>
        <w:pageBreakBefore/>
        <w:jc w:val="both"/>
      </w:pPr>
      <w:r>
        <w:rPr>
          <w:rFonts w:ascii="Arial" w:hAnsi="Arial"/>
          <w:sz w:val="20"/>
        </w:rPr>
        <w:lastRenderedPageBreak/>
        <w:t>Ein Brief an jene, die nach uns kommen</w:t>
      </w:r>
    </w:p>
    <w:p w14:paraId="3A64B1FC" w14:textId="77777777" w:rsidR="00D67E55" w:rsidRDefault="00F266ED">
      <w:pPr>
        <w:pStyle w:val="NoIndent"/>
        <w:rPr>
          <w:rFonts w:hint="eastAsia"/>
        </w:rPr>
      </w:pPr>
      <w:r>
        <w:rPr>
          <w:rFonts w:ascii="Arial" w:hAnsi="Arial"/>
          <w:sz w:val="20"/>
        </w:rPr>
        <w:t>Wenn Sie dies in vielen Jahren lesen, Miramistin, Megainpharm, Innovexa, und die Namen der Schiffe sind vielleicht nur Worte aus den Archiven. Ich hoffe, sie werden es. Ihr Leben dreht sich also nicht um unsere Argumente.</w:t>
      </w:r>
    </w:p>
    <w:p w14:paraId="440CDBDA" w14:textId="77777777" w:rsidR="00D67E55" w:rsidRDefault="00F266ED">
      <w:r>
        <w:t>Suchen Sie nicht nach einem Bösewicht in diesem Buch. Machen Sie mich nicht zu einem Helden. Große Probleme haben selten diese bequeme Form. Wir bauten komplexe Unternehmen schneller als wir ein System gemeinsamer Macht bauten. Wir vertrauten einander mehr als wir Verfahren vertrauten. Wir vermischten wirtschaftliche Mehrheiten, Familienautorität, Position und rechtliche Autorität. Solange alles gut ging, funktionierte es. Wenn Interessen auseinandergingen, wurde jeder versteckte Defekt gleichzeitig sichtbar.</w:t>
      </w:r>
    </w:p>
    <w:p w14:paraId="3C5B02BA" w14:textId="77777777" w:rsidR="00D67E55" w:rsidRDefault="00F266ED">
      <w:r>
        <w:t>Wenn Sie ein Familienunternehmen haben, schreiben Sie Regeln, bevor Sie sie brauchen. Getrenntes Eigentum und Management. Getrennte Entscheidungsfindung und Durchsetzung. Stellen Sie sicher, dass die Person, die das Geld kontrolliert, nicht den einzigen Informationskanal kontrolliert. Führen Sie Aufzeichnungen. Machen Sie unabhängige Bewertungen großer Vermögenswerte. Lassen Sie keine sinnvollen Kredite zwischen Verwandten auf der Ebene verbaler Vereinbarungen.</w:t>
      </w:r>
    </w:p>
    <w:p w14:paraId="0A846CD2" w14:textId="77777777" w:rsidR="00D67E55" w:rsidRDefault="00F266ED">
      <w:r>
        <w:t>Ein Ausstiegsverfahren einrichten: In der Lage zu sein, stillschweigend einen Anteil zu verkaufen, Autorität zu übertragen und zu gehen, rettet manchmal eine Familie besser als das lukrativste neue Projekt.</w:t>
      </w:r>
    </w:p>
    <w:p w14:paraId="154F6033" w14:textId="77777777" w:rsidR="00D67E55" w:rsidRDefault="00F266ED">
      <w:r>
        <w:t>Und lassen Sie sich auch niemals von einem Rechtsstreit die ganze Person erklären, denn vor Gericht müssen wir die Rollen des Klägers, des Beklagten, des Verkäufers, des Direktors, des Urheberrechtsinhabers vereinfachen, und im Leben ist jeder Teilnehmer mehr als seine verfahrenstechnische Position.</w:t>
      </w:r>
    </w:p>
    <w:p w14:paraId="212A48F0" w14:textId="77777777" w:rsidR="00D67E55" w:rsidRDefault="00F266ED">
      <w:r>
        <w:t>Ich weiß nicht, wie die Geschichte meine Entscheidungen beurteilen wird. Einige hätte ich anders genommen. Einige bin ich bereit zu verteidigen. Einige der Fakten habe ich immer noch keine endgültige Antwort, aber ich weiß, dass ich diese Geschichte auf eine fehlerhafte Weise behalten musste - mit Lücken, Zweifeln und meinen eigenen Fehlern.</w:t>
      </w:r>
    </w:p>
    <w:p w14:paraId="6E3CF2CE" w14:textId="77777777" w:rsidR="00D67E55" w:rsidRDefault="00F266ED">
      <w:r>
        <w:t>Wenn Sie es in ein friedlicheres und transparenteres Geschäft verwandeln, haben wir den Preis nicht umsonst bezahlt.</w:t>
      </w:r>
    </w:p>
    <w:p w14:paraId="333BBDF3" w14:textId="77777777" w:rsidR="00D67E55" w:rsidRDefault="00F266ED">
      <w:r>
        <w:t>Evgeny Gorokhov Wien, 2026</w:t>
      </w:r>
      <w:r>
        <w:br/>
        <w:t/>
      </w:r>
    </w:p>
    <w:p w14:paraId="15F2E986" w14:textId="77777777" w:rsidR="00D67E55" w:rsidRDefault="00F266ED">
      <w:pPr>
        <w:pStyle w:val="1"/>
        <w:pageBreakBefore/>
        <w:jc w:val="both"/>
      </w:pPr>
      <w:r>
        <w:rPr>
          <w:rFonts w:ascii="Arial" w:hAnsi="Arial"/>
          <w:sz w:val="20"/>
        </w:rPr>
        <w:lastRenderedPageBreak/>
        <w:t>Quellen zur Familiengeschichte</w:t>
      </w:r>
    </w:p>
    <w:p w14:paraId="22F56FC8" w14:textId="77777777" w:rsidR="00D67E55" w:rsidRDefault="00F266ED">
      <w:pPr>
        <w:pStyle w:val="21"/>
      </w:pPr>
      <w:r>
        <w:rPr>
          <w:rFonts w:ascii="Arial" w:hAnsi="Arial"/>
          <w:sz w:val="20"/>
        </w:rPr>
        <w:t>1. „Mädchen der Gorokhovs“ – genealogische Untersuchung „Projekt Leben“, Moskau, 2019, 189 Seiten. Enthält Archivreferenzen, Generationengemälde, biographische Essays und Familienfotos.</w:t>
      </w:r>
    </w:p>
    <w:p w14:paraId="3CCE04AD" w14:textId="77777777" w:rsidR="00D67E55" w:rsidRDefault="00F266ED">
      <w:pPr>
        <w:pStyle w:val="21"/>
      </w:pPr>
      <w:r>
        <w:rPr>
          <w:rFonts w:ascii="Arial" w:hAnsi="Arial"/>
          <w:sz w:val="20"/>
        </w:rPr>
        <w:t>2. "AYU Gorokhov Tree" - Panoramischer Familienbaum, 2019. Wird verwendet, um die Struktur von Generationen zu testen und als separate Familien-App.</w:t>
      </w:r>
    </w:p>
    <w:p w14:paraId="46964374" w14:textId="77777777" w:rsidR="00D67E55" w:rsidRDefault="00F266ED">
      <w:pPr>
        <w:pStyle w:val="21"/>
      </w:pPr>
      <w:r>
        <w:rPr>
          <w:rFonts w:ascii="Arial" w:hAnsi="Arial"/>
          <w:sz w:val="20"/>
        </w:rPr>
        <w:t>3.Fakten über lebende Verwandte, die in der genealogischen Studie angegeben sind, beziehen sich auf den Zustand von 2019 und sollten nicht als aktuelle biographische Informationen ohne Aktualisierung betrachtet werden.</w:t>
      </w:r>
    </w:p>
    <w:p w14:paraId="0DA6947B" w14:textId="77777777" w:rsidR="00D67E55" w:rsidRDefault="00F266ED">
      <w:pPr>
        <w:pStyle w:val="1"/>
        <w:pageBreakBefore/>
        <w:spacing w:after="240"/>
        <w:jc w:val="center"/>
      </w:pPr>
      <w:r>
        <w:rPr>
          <w:rFonts w:ascii="Arial" w:hAnsi="Arial"/>
          <w:sz w:val="20"/>
        </w:rPr>
        <w:lastRenderedPageBreak/>
        <w:t>Dokumentarische Karte der Erinnerung</w:t>
      </w:r>
    </w:p>
    <w:p w14:paraId="4A9AF645" w14:textId="77777777" w:rsidR="00D67E55" w:rsidRDefault="00F266ED">
      <w:r>
        <w:t>Dieser Abschnitt soll kein Gerichtsmemo wiederholen; seine Aufgabe ist einfacher: dem zukünftigen Leser eine kurze Karte zu geben, welche Elemente meines Gedächtnisses auf Dokumenten basieren, wo Lücken bestehen und welche Schlussfolgerungen nicht ohne weitere Überprüfung in eine Familienlegende umgewandelt werden können.</w:t>
      </w:r>
    </w:p>
    <w:p w14:paraId="35E688C3" w14:textId="77777777" w:rsidR="00D67E55" w:rsidRDefault="00F266ED">
      <w:pPr>
        <w:pStyle w:val="21"/>
      </w:pPr>
      <w:r>
        <w:rPr>
          <w:rFonts w:ascii="Arial" w:hAnsi="Arial"/>
          <w:sz w:val="20"/>
        </w:rPr>
        <w:t>1. Hinweise zum dokumentarischen Teil</w:t>
      </w:r>
    </w:p>
    <w:p w14:paraId="6819768E" w14:textId="77777777" w:rsidR="00D67E55" w:rsidRDefault="00F266ED">
      <w:r>
        <w:t>In diesem Buch unterscheide ich vier Ebenen der Sicherheit: [A] ist das primäre zeitgleiche Dokument oder offizielle Register; [B] ist eine starke Schlussfolgerung aus mehreren unabhängigen Fakten; [C] ist eine späte Nebenposition oder eine unvollständig bestätigte Episode; [H] ist eine Hypothese, die noch bewiesen werden muss. Das Fehlen eines Briefes im Archiv, der untersucht wird, bedeutet nur "nicht gefunden", nicht "nicht aufgetreten".</w:t>
      </w:r>
    </w:p>
    <w:p w14:paraId="33E61DFF" w14:textId="77777777" w:rsidR="00D67E55" w:rsidRDefault="00F266ED">
      <w:pPr>
        <w:pStyle w:val="21"/>
      </w:pPr>
      <w:r>
        <w:rPr>
          <w:rFonts w:ascii="Arial" w:hAnsi="Arial"/>
          <w:sz w:val="20"/>
        </w:rPr>
        <w:t>2. Vier Fragen, die offenbleiben</w:t>
      </w:r>
    </w:p>
    <w:tbl>
      <w:tblPr>
        <w:tblStyle w:val="aff0"/>
        <w:tblW w:w="0" w:type="auto"/>
        <w:jc w:val="center"/>
        <w:tblLayout w:type="fixed"/>
        <w:tblLook w:val="04A0" w:firstRow="1" w:lastRow="0" w:firstColumn="1" w:lastColumn="0" w:noHBand="0" w:noVBand="1"/>
      </w:tblPr>
      <w:tblGrid>
        <w:gridCol w:w="3232"/>
        <w:gridCol w:w="4723"/>
      </w:tblGrid>
      <w:tr w:rsidR="00D67E55" w14:paraId="6DAF3375" w14:textId="77777777">
        <w:trPr>
          <w:cantSplit/>
          <w:jc w:val="center"/>
          <w:tblHeader/>
        </w:trPr>
        <w:tc>
          <w:tcPr>
            <w:tcW w:w="1656" w:type="dxa"/>
            <w:shd w:val="clear" w:color="auto" w:fill="EAF0F7"/>
            <w:tcMar>
              <w:top w:w="60" w:type="dxa"/>
              <w:left w:w="80" w:type="dxa"/>
              <w:bottom w:w="60" w:type="dxa"/>
              <w:right w:w="80" w:type="dxa"/>
            </w:tcMar>
          </w:tcPr>
          <w:p w14:paraId="1E199582" w14:textId="77777777" w:rsidR="00D67E55" w:rsidRDefault="00F266ED">
            <w:pPr>
              <w:keepNext/>
              <w:jc w:val="left"/>
            </w:pPr>
            <w:r>
              <w:rPr>
                <w:b/>
                <w:sz w:val="16"/>
              </w:rPr>
              <w:t>Fragestellung</w:t>
            </w:r>
          </w:p>
        </w:tc>
        <w:tc>
          <w:tcPr>
            <w:tcW w:w="4723" w:type="dxa"/>
            <w:shd w:val="clear" w:color="auto" w:fill="EAF0F7"/>
            <w:tcMar>
              <w:top w:w="60" w:type="dxa"/>
              <w:left w:w="80" w:type="dxa"/>
              <w:bottom w:w="60" w:type="dxa"/>
              <w:right w:w="80" w:type="dxa"/>
            </w:tcMar>
          </w:tcPr>
          <w:p w14:paraId="568955D8" w14:textId="77777777" w:rsidR="00D67E55" w:rsidRDefault="00F266ED">
            <w:pPr>
              <w:keepNext/>
              <w:jc w:val="left"/>
            </w:pPr>
            <w:r>
              <w:rPr>
                <w:b/>
                <w:sz w:val="16"/>
              </w:rPr>
              <w:t>Was zu erinnern</w:t>
            </w:r>
          </w:p>
        </w:tc>
      </w:tr>
      <w:tr w:rsidR="00D67E55" w14:paraId="5587A8DA" w14:textId="77777777">
        <w:trPr>
          <w:cantSplit/>
          <w:jc w:val="center"/>
        </w:trPr>
        <w:tc>
          <w:tcPr>
            <w:tcW w:w="1656" w:type="dxa"/>
            <w:tcMar>
              <w:top w:w="60" w:type="dxa"/>
              <w:left w:w="80" w:type="dxa"/>
              <w:bottom w:w="60" w:type="dxa"/>
              <w:right w:w="80" w:type="dxa"/>
            </w:tcMar>
          </w:tcPr>
          <w:p w14:paraId="7555F03C" w14:textId="77777777" w:rsidR="00D67E55" w:rsidRDefault="00F266ED">
            <w:pPr>
              <w:jc w:val="left"/>
            </w:pPr>
            <w:r>
              <w:rPr>
                <w:sz w:val="16"/>
              </w:rPr>
              <w:t>Wirtschaftliche IP-Tour</w:t>
            </w:r>
          </w:p>
        </w:tc>
        <w:tc>
          <w:tcPr>
            <w:tcW w:w="4723" w:type="dxa"/>
            <w:tcMar>
              <w:top w:w="60" w:type="dxa"/>
              <w:left w:w="80" w:type="dxa"/>
              <w:bottom w:w="60" w:type="dxa"/>
              <w:right w:w="80" w:type="dxa"/>
            </w:tcMar>
          </w:tcPr>
          <w:p w14:paraId="7CEE1AD0" w14:textId="77777777" w:rsidR="00D67E55" w:rsidRDefault="00F266ED">
            <w:pPr>
              <w:jc w:val="left"/>
            </w:pPr>
            <w:r>
              <w:rPr>
                <w:sz w:val="16"/>
              </w:rPr>
              <w:t>Der wiederhergestellte Vertrag 26.08.2024 legt den Vertragsbetrag fest; der Zusatzvertrag 27.09 behält diesen Preis ausdrücklich bei. Der Brief 04.09 enthält die vorgeschlagene kommerzielle Version. Nun stellt sich nicht die Frage, "welche Zahl überhaupt war", sondern warum der andere Preis diskutiert wurde und wie der Vertragspreis bewertet/bezahlt wurde.</w:t>
            </w:r>
          </w:p>
        </w:tc>
      </w:tr>
      <w:tr w:rsidR="00D67E55" w14:paraId="04053855" w14:textId="77777777">
        <w:trPr>
          <w:cantSplit/>
          <w:jc w:val="center"/>
        </w:trPr>
        <w:tc>
          <w:tcPr>
            <w:tcW w:w="1656" w:type="dxa"/>
            <w:tcMar>
              <w:top w:w="60" w:type="dxa"/>
              <w:left w:w="80" w:type="dxa"/>
              <w:bottom w:w="60" w:type="dxa"/>
              <w:right w:w="80" w:type="dxa"/>
            </w:tcMar>
          </w:tcPr>
          <w:p w14:paraId="5065A6CF" w14:textId="77777777" w:rsidR="00D67E55" w:rsidRDefault="00F266ED">
            <w:pPr>
              <w:jc w:val="left"/>
            </w:pPr>
            <w:r>
              <w:rPr>
                <w:sz w:val="16"/>
              </w:rPr>
              <w:t>Kontur 68%</w:t>
            </w:r>
          </w:p>
        </w:tc>
        <w:tc>
          <w:tcPr>
            <w:tcW w:w="4723" w:type="dxa"/>
            <w:tcMar>
              <w:top w:w="60" w:type="dxa"/>
              <w:left w:w="80" w:type="dxa"/>
              <w:bottom w:w="60" w:type="dxa"/>
              <w:right w:w="80" w:type="dxa"/>
            </w:tcMar>
          </w:tcPr>
          <w:p w14:paraId="66BD3774" w14:textId="77777777" w:rsidR="00D67E55" w:rsidRDefault="00F266ED">
            <w:pPr>
              <w:jc w:val="left"/>
            </w:pPr>
            <w:r>
              <w:rPr>
                <w:sz w:val="16"/>
              </w:rPr>
              <w:t>Die Unterstützung oder das wirtschaftliche Gewicht von Kirpenko/Sidorow auf Konzernebene, auch wenn 68% bestätigt werden, entspricht nicht automatisch den Stimmen und der Zustimmung des Unternehmens zu einer bestimmten Transaktion der Megainpharm GmbH.</w:t>
            </w:r>
          </w:p>
        </w:tc>
      </w:tr>
      <w:tr w:rsidR="00D67E55" w14:paraId="4D7A0A27" w14:textId="77777777">
        <w:trPr>
          <w:cantSplit/>
          <w:jc w:val="center"/>
        </w:trPr>
        <w:tc>
          <w:tcPr>
            <w:tcW w:w="1656" w:type="dxa"/>
            <w:tcMar>
              <w:top w:w="60" w:type="dxa"/>
              <w:left w:w="80" w:type="dxa"/>
              <w:bottom w:w="60" w:type="dxa"/>
              <w:right w:w="80" w:type="dxa"/>
            </w:tcMar>
          </w:tcPr>
          <w:p w14:paraId="574ECA87" w14:textId="77777777" w:rsidR="00D67E55" w:rsidRDefault="00F266ED">
            <w:pPr>
              <w:jc w:val="left"/>
            </w:pPr>
            <w:r>
              <w:rPr>
                <w:sz w:val="16"/>
              </w:rPr>
              <w:t>MIF und Pharmstandard/PST</w:t>
            </w:r>
          </w:p>
        </w:tc>
        <w:tc>
          <w:tcPr>
            <w:tcW w:w="4723" w:type="dxa"/>
            <w:tcMar>
              <w:top w:w="60" w:type="dxa"/>
              <w:left w:w="80" w:type="dxa"/>
              <w:bottom w:w="60" w:type="dxa"/>
              <w:right w:w="80" w:type="dxa"/>
            </w:tcMar>
          </w:tcPr>
          <w:p w14:paraId="04BC78FC" w14:textId="77777777" w:rsidR="00D67E55" w:rsidRDefault="00F266ED">
            <w:pPr>
              <w:jc w:val="left"/>
            </w:pPr>
            <w:r>
              <w:rPr>
                <w:sz w:val="16"/>
              </w:rPr>
              <w:t>Die Änderung der MIF-Kontrolle zu New Medical Technologies KFT und die Ernennung von Harmas werden bestätigt.MIFs direkte Eigentums- / Kontrollverbindung zu PST / Pharmastandard erfordert eine separate Beweiskette.</w:t>
            </w:r>
          </w:p>
        </w:tc>
      </w:tr>
      <w:tr w:rsidR="00D67E55" w14:paraId="08DDD98B" w14:textId="77777777">
        <w:trPr>
          <w:cantSplit/>
          <w:jc w:val="center"/>
        </w:trPr>
        <w:tc>
          <w:tcPr>
            <w:tcW w:w="1656" w:type="dxa"/>
            <w:tcMar>
              <w:top w:w="60" w:type="dxa"/>
              <w:left w:w="80" w:type="dxa"/>
              <w:bottom w:w="60" w:type="dxa"/>
              <w:right w:w="80" w:type="dxa"/>
            </w:tcMar>
          </w:tcPr>
          <w:p w14:paraId="5DE45342" w14:textId="77777777" w:rsidR="00D67E55" w:rsidRDefault="00F266ED">
            <w:pPr>
              <w:jc w:val="left"/>
            </w:pPr>
            <w:r>
              <w:rPr>
                <w:sz w:val="16"/>
              </w:rPr>
              <w:t>Kritische Originale und Verfahrensstatus</w:t>
            </w:r>
          </w:p>
        </w:tc>
        <w:tc>
          <w:tcPr>
            <w:tcW w:w="4723" w:type="dxa"/>
            <w:tcMar>
              <w:top w:w="60" w:type="dxa"/>
              <w:left w:w="80" w:type="dxa"/>
              <w:bottom w:w="60" w:type="dxa"/>
              <w:right w:w="80" w:type="dxa"/>
            </w:tcMar>
          </w:tcPr>
          <w:p w14:paraId="1B5AE3B2" w14:textId="77777777" w:rsidR="00D67E55" w:rsidRDefault="00F266ED">
            <w:pPr>
              <w:jc w:val="left"/>
            </w:pPr>
            <w:r>
              <w:rPr>
                <w:sz w:val="16"/>
              </w:rPr>
              <w:t>Die vollständige Verfahrenskopie des MIF-Innovexa-Abkommens und der Nachtrags wird wiederhergestellt, und das Original / Muttersprachlich unterzeichnete PoA 08.07, Unternehmensgenehmigungen, die Überprüfung des Gedächtnisses von GE an das 17.08 mündliche Gespräch und die anschließende Kommunikation, die Vorbereitung von Berufung und weitere WKStA-Aufzeichnungen sind noch erforderlich.</w:t>
            </w:r>
          </w:p>
        </w:tc>
      </w:tr>
      <w:tr w:rsidR="00D67E55" w14:paraId="3ECC95CB" w14:textId="77777777">
        <w:trPr>
          <w:cantSplit/>
          <w:jc w:val="center"/>
        </w:trPr>
        <w:tc>
          <w:tcPr>
            <w:tcW w:w="3232" w:type="dxa"/>
          </w:tcPr>
          <w:p w14:paraId="41EF4D9D" w14:textId="77777777" w:rsidR="00D67E55" w:rsidRDefault="00F266ED">
            <w:pPr>
              <w:jc w:val="left"/>
            </w:pPr>
            <w:r>
              <w:rPr>
                <w:sz w:val="16"/>
              </w:rPr>
              <w:lastRenderedPageBreak/>
              <w:t>Vollmacht 08.07 und E-Mail 19.09</w:t>
            </w:r>
          </w:p>
        </w:tc>
        <w:tc>
          <w:tcPr>
            <w:tcW w:w="3232" w:type="dxa"/>
          </w:tcPr>
          <w:p w14:paraId="148148A5" w14:textId="77777777" w:rsidR="00D67E55" w:rsidRDefault="00F266ED">
            <w:pPr>
              <w:jc w:val="left"/>
            </w:pPr>
            <w:r>
              <w:rPr>
                <w:sz w:val="16"/>
              </w:rPr>
              <w:t>Die ursprüngliche E-Mail vom 8. Juli bestätigt einen frühen, nicht unterzeichneten Entwurf einer weitreichenden Vollmacht sowie die Bitte um Unterzeichnung. Die am 19. September wiedergefundenen Anlagen betreffen NSP und Patentanwälte. Diese Tatsachen sind getrennt zu betrachten: Die Herkunft eines Textes belegt nicht die Echtheit einer Unterschrift; eine spätere Erinnerung ist keine zeitgleiche Anlage.</w:t>
            </w:r>
          </w:p>
        </w:tc>
      </w:tr>
    </w:tbl>
    <w:p w14:paraId="499B5AE5" w14:textId="77777777" w:rsidR="00D67E55" w:rsidRDefault="00D67E55"/>
    <w:p w14:paraId="67FAEE56" w14:textId="77777777" w:rsidR="00D67E55" w:rsidRDefault="00F266ED">
      <w:pPr>
        <w:pStyle w:val="21"/>
      </w:pPr>
      <w:r>
        <w:rPr>
          <w:rFonts w:ascii="Arial" w:hAnsi="Arial"/>
          <w:sz w:val="20"/>
        </w:rPr>
        <w:t>3. Beteiligte und juristische Personen auf einer Karte</w:t>
      </w:r>
    </w:p>
    <w:tbl>
      <w:tblPr>
        <w:tblStyle w:val="aff0"/>
        <w:tblW w:w="0" w:type="auto"/>
        <w:jc w:val="center"/>
        <w:tblLayout w:type="fixed"/>
        <w:tblLook w:val="04A0" w:firstRow="1" w:lastRow="0" w:firstColumn="1" w:lastColumn="0" w:noHBand="0" w:noVBand="1"/>
      </w:tblPr>
      <w:tblGrid>
        <w:gridCol w:w="1728"/>
        <w:gridCol w:w="4651"/>
      </w:tblGrid>
      <w:tr w:rsidR="00D67E55" w14:paraId="62362B98" w14:textId="77777777">
        <w:trPr>
          <w:cantSplit/>
          <w:jc w:val="center"/>
          <w:tblHeader/>
        </w:trPr>
        <w:tc>
          <w:tcPr>
            <w:tcW w:w="1728" w:type="dxa"/>
            <w:shd w:val="clear" w:color="auto" w:fill="EAF0F7"/>
            <w:tcMar>
              <w:top w:w="60" w:type="dxa"/>
              <w:left w:w="80" w:type="dxa"/>
              <w:bottom w:w="60" w:type="dxa"/>
              <w:right w:w="80" w:type="dxa"/>
            </w:tcMar>
          </w:tcPr>
          <w:p w14:paraId="20964FB5" w14:textId="77777777" w:rsidR="00D67E55" w:rsidRDefault="00F266ED">
            <w:pPr>
              <w:keepNext/>
              <w:jc w:val="left"/>
            </w:pPr>
            <w:r>
              <w:rPr>
                <w:b/>
                <w:sz w:val="16"/>
              </w:rPr>
              <w:t>Teilnehmer/Struktur</w:t>
            </w:r>
          </w:p>
        </w:tc>
        <w:tc>
          <w:tcPr>
            <w:tcW w:w="4651" w:type="dxa"/>
            <w:shd w:val="clear" w:color="auto" w:fill="EAF0F7"/>
            <w:tcMar>
              <w:top w:w="60" w:type="dxa"/>
              <w:left w:w="80" w:type="dxa"/>
              <w:bottom w:w="60" w:type="dxa"/>
              <w:right w:w="80" w:type="dxa"/>
            </w:tcMar>
          </w:tcPr>
          <w:p w14:paraId="417C8CE6" w14:textId="77777777" w:rsidR="00D67E55" w:rsidRDefault="00F266ED">
            <w:pPr>
              <w:keepNext/>
              <w:jc w:val="left"/>
            </w:pPr>
            <w:r>
              <w:rPr>
                <w:b/>
                <w:sz w:val="16"/>
              </w:rPr>
              <w:t>Dokumentierte Rolle und Reservierung</w:t>
            </w:r>
          </w:p>
        </w:tc>
      </w:tr>
      <w:tr w:rsidR="00D67E55" w14:paraId="6BCA81B4" w14:textId="77777777">
        <w:trPr>
          <w:cantSplit/>
          <w:jc w:val="center"/>
        </w:trPr>
        <w:tc>
          <w:tcPr>
            <w:tcW w:w="1728" w:type="dxa"/>
            <w:tcMar>
              <w:top w:w="60" w:type="dxa"/>
              <w:left w:w="80" w:type="dxa"/>
              <w:bottom w:w="60" w:type="dxa"/>
              <w:right w:w="80" w:type="dxa"/>
            </w:tcMar>
          </w:tcPr>
          <w:p w14:paraId="53335077" w14:textId="77777777" w:rsidR="00D67E55" w:rsidRDefault="00F266ED">
            <w:pPr>
              <w:jc w:val="left"/>
            </w:pPr>
            <w:r>
              <w:rPr>
                <w:sz w:val="16"/>
              </w:rPr>
              <w:t>Evgeny Gorokhov/Evgeny Gorokhov</w:t>
            </w:r>
          </w:p>
        </w:tc>
        <w:tc>
          <w:tcPr>
            <w:tcW w:w="4651" w:type="dxa"/>
            <w:tcMar>
              <w:top w:w="60" w:type="dxa"/>
              <w:left w:w="80" w:type="dxa"/>
              <w:bottom w:w="60" w:type="dxa"/>
              <w:right w:w="80" w:type="dxa"/>
            </w:tcMar>
          </w:tcPr>
          <w:p w14:paraId="72A2D4CC" w14:textId="77777777" w:rsidR="00D67E55" w:rsidRDefault="00F266ED">
            <w:pPr>
              <w:jc w:val="left"/>
            </w:pPr>
            <w:r>
              <w:rPr>
                <w:sz w:val="16"/>
              </w:rPr>
              <w:t>Aus der Original-E-Mail 08.07 geht hervor, dass er Papadopoulos gebeten hatte, im Voraus eine umfassende Vereinbarung zu unterzeichnen; die Aktenvereinbarung 26.08 bezieht sich darauf. Der Hauptstreit ist die Gültigkeit der Unterschrift/Behörde und die Zustimmung des Unternehmens, nicht die Abwesenheit von Evgeny Gorokhov.</w:t>
            </w:r>
          </w:p>
        </w:tc>
      </w:tr>
      <w:tr w:rsidR="00D67E55" w14:paraId="4F896346" w14:textId="77777777">
        <w:trPr>
          <w:cantSplit/>
          <w:jc w:val="center"/>
        </w:trPr>
        <w:tc>
          <w:tcPr>
            <w:tcW w:w="1728" w:type="dxa"/>
            <w:tcMar>
              <w:top w:w="60" w:type="dxa"/>
              <w:left w:w="80" w:type="dxa"/>
              <w:bottom w:w="60" w:type="dxa"/>
              <w:right w:w="80" w:type="dxa"/>
            </w:tcMar>
          </w:tcPr>
          <w:p w14:paraId="52DED04C" w14:textId="77777777" w:rsidR="00D67E55" w:rsidRDefault="00F266ED">
            <w:pPr>
              <w:jc w:val="left"/>
            </w:pPr>
            <w:r>
              <w:rPr>
                <w:sz w:val="16"/>
              </w:rPr>
              <w:t>Andrey Gorokhov/Andrey Yuryevich</w:t>
            </w:r>
          </w:p>
        </w:tc>
        <w:tc>
          <w:tcPr>
            <w:tcW w:w="4651" w:type="dxa"/>
            <w:tcMar>
              <w:top w:w="60" w:type="dxa"/>
              <w:left w:w="80" w:type="dxa"/>
              <w:bottom w:w="60" w:type="dxa"/>
              <w:right w:w="80" w:type="dxa"/>
            </w:tcMar>
          </w:tcPr>
          <w:p w14:paraId="48E9E1D4" w14:textId="77777777" w:rsidR="00D67E55" w:rsidRDefault="00F266ED">
            <w:pPr>
              <w:jc w:val="left"/>
            </w:pPr>
            <w:r>
              <w:rPr>
                <w:sz w:val="16"/>
              </w:rPr>
              <w:t>Familien- und Strategiezentrum. GE beschreibt eine zweifache mündliche Zustimmung am 17.08.2024; es gibt kein separates GA-Dokument von diesem Datum.Spätes Verhalten und September-Mitteilungen erfordern eine separate Überprüfung und ersetzen nicht die Zustimmung des Unternehmens.</w:t>
            </w:r>
          </w:p>
        </w:tc>
      </w:tr>
      <w:tr w:rsidR="00D67E55" w14:paraId="73A322F3" w14:textId="77777777">
        <w:trPr>
          <w:cantSplit/>
          <w:jc w:val="center"/>
        </w:trPr>
        <w:tc>
          <w:tcPr>
            <w:tcW w:w="1728" w:type="dxa"/>
            <w:tcMar>
              <w:top w:w="60" w:type="dxa"/>
              <w:left w:w="80" w:type="dxa"/>
              <w:bottom w:w="60" w:type="dxa"/>
              <w:right w:w="80" w:type="dxa"/>
            </w:tcMar>
          </w:tcPr>
          <w:p w14:paraId="64B2456D" w14:textId="77777777" w:rsidR="00D67E55" w:rsidRDefault="00F266ED">
            <w:pPr>
              <w:jc w:val="left"/>
            </w:pPr>
            <w:r>
              <w:rPr>
                <w:sz w:val="16"/>
              </w:rPr>
              <w:t>GD/Dmitry Gorokhov</w:t>
            </w:r>
          </w:p>
        </w:tc>
        <w:tc>
          <w:tcPr>
            <w:tcW w:w="4651" w:type="dxa"/>
            <w:tcMar>
              <w:top w:w="60" w:type="dxa"/>
              <w:left w:w="80" w:type="dxa"/>
              <w:bottom w:w="60" w:type="dxa"/>
              <w:right w:w="80" w:type="dxa"/>
            </w:tcMar>
          </w:tcPr>
          <w:p w14:paraId="261E4E00" w14:textId="77777777" w:rsidR="00D67E55" w:rsidRDefault="00F266ED">
            <w:pPr>
              <w:jc w:val="left"/>
            </w:pPr>
            <w:r>
              <w:rPr>
                <w:sz w:val="16"/>
              </w:rPr>
              <w:t>Episode 03.04.2025 bestätigt die praktische Finanz- und Vermittlerrolle; die allgemeine Kontrolle über Andrey Gorokhov / Anton ist nicht etabliert.</w:t>
            </w:r>
          </w:p>
        </w:tc>
      </w:tr>
      <w:tr w:rsidR="00D67E55" w14:paraId="60B1FFAA" w14:textId="77777777">
        <w:trPr>
          <w:cantSplit/>
          <w:jc w:val="center"/>
        </w:trPr>
        <w:tc>
          <w:tcPr>
            <w:tcW w:w="1728" w:type="dxa"/>
            <w:tcMar>
              <w:top w:w="60" w:type="dxa"/>
              <w:left w:w="80" w:type="dxa"/>
              <w:bottom w:w="60" w:type="dxa"/>
              <w:right w:w="80" w:type="dxa"/>
            </w:tcMar>
          </w:tcPr>
          <w:p w14:paraId="5480B305" w14:textId="77777777" w:rsidR="00D67E55" w:rsidRDefault="00F266ED">
            <w:pPr>
              <w:jc w:val="left"/>
            </w:pPr>
            <w:r>
              <w:rPr>
                <w:sz w:val="16"/>
              </w:rPr>
              <w:t>Anton Gorokhov</w:t>
            </w:r>
          </w:p>
        </w:tc>
        <w:tc>
          <w:tcPr>
            <w:tcW w:w="4651" w:type="dxa"/>
            <w:tcMar>
              <w:top w:w="60" w:type="dxa"/>
              <w:left w:w="80" w:type="dxa"/>
              <w:bottom w:w="60" w:type="dxa"/>
              <w:right w:w="80" w:type="dxa"/>
            </w:tcMar>
          </w:tcPr>
          <w:p w14:paraId="6860B2A3" w14:textId="77777777" w:rsidR="00D67E55" w:rsidRDefault="00F266ED">
            <w:pPr>
              <w:jc w:val="left"/>
            </w:pPr>
            <w:r>
              <w:rPr>
                <w:sz w:val="16"/>
              </w:rPr>
              <w:t>Der formelle Eigentümer / Verkäufer von Infamed K LLC und ein aktiver Verhandlungsführer im Frühjahr 2025 wird ein persönlicher Konflikt mit Evgeny Gorokhov nicht durch Dokumente bestätigt.</w:t>
            </w:r>
          </w:p>
        </w:tc>
      </w:tr>
      <w:tr w:rsidR="00D67E55" w14:paraId="17A4F86A" w14:textId="77777777">
        <w:trPr>
          <w:cantSplit/>
          <w:jc w:val="center"/>
        </w:trPr>
        <w:tc>
          <w:tcPr>
            <w:tcW w:w="1728" w:type="dxa"/>
            <w:tcMar>
              <w:top w:w="60" w:type="dxa"/>
              <w:left w:w="80" w:type="dxa"/>
              <w:bottom w:w="60" w:type="dxa"/>
              <w:right w:w="80" w:type="dxa"/>
            </w:tcMar>
          </w:tcPr>
          <w:p w14:paraId="27A9FE8B" w14:textId="77777777" w:rsidR="00D67E55" w:rsidRDefault="00F266ED">
            <w:pPr>
              <w:jc w:val="left"/>
            </w:pPr>
            <w:r>
              <w:rPr>
                <w:sz w:val="16"/>
              </w:rPr>
              <w:t>Wjatscheslaw Sidorow</w:t>
            </w:r>
          </w:p>
        </w:tc>
        <w:tc>
          <w:tcPr>
            <w:tcW w:w="4651" w:type="dxa"/>
            <w:tcMar>
              <w:top w:w="60" w:type="dxa"/>
              <w:left w:w="80" w:type="dxa"/>
              <w:bottom w:w="60" w:type="dxa"/>
              <w:right w:w="80" w:type="dxa"/>
            </w:tcMar>
          </w:tcPr>
          <w:p w14:paraId="3F96CF8C" w14:textId="77777777" w:rsidR="00D67E55" w:rsidRDefault="00F266ED">
            <w:pPr>
              <w:jc w:val="left"/>
            </w:pPr>
            <w:r>
              <w:rPr>
                <w:sz w:val="16"/>
              </w:rPr>
              <w:t>Frühe Kenntnis der UAE-Kontur wird durch KYC / Dokumente bestätigt; in der restaurierten Kopie des Vertrags 26.08 wird es vom Vertreter von Innovexa angegeben und die Kopie zeigt seine Unterschrift / Siegel.</w:t>
            </w:r>
          </w:p>
        </w:tc>
      </w:tr>
      <w:tr w:rsidR="00D67E55" w14:paraId="562350BB" w14:textId="77777777">
        <w:trPr>
          <w:cantSplit/>
          <w:jc w:val="center"/>
        </w:trPr>
        <w:tc>
          <w:tcPr>
            <w:tcW w:w="1728" w:type="dxa"/>
            <w:tcMar>
              <w:top w:w="60" w:type="dxa"/>
              <w:left w:w="80" w:type="dxa"/>
              <w:bottom w:w="60" w:type="dxa"/>
              <w:right w:w="80" w:type="dxa"/>
            </w:tcMar>
          </w:tcPr>
          <w:p w14:paraId="2EDACA15" w14:textId="77777777" w:rsidR="00D67E55" w:rsidRDefault="00F266ED">
            <w:pPr>
              <w:jc w:val="left"/>
            </w:pPr>
            <w:r>
              <w:rPr>
                <w:sz w:val="16"/>
              </w:rPr>
              <w:t>Oksana Kirpenko und Adolina Rudko</w:t>
            </w:r>
          </w:p>
        </w:tc>
        <w:tc>
          <w:tcPr>
            <w:tcW w:w="4651" w:type="dxa"/>
            <w:tcMar>
              <w:top w:w="60" w:type="dxa"/>
              <w:left w:w="80" w:type="dxa"/>
              <w:bottom w:w="60" w:type="dxa"/>
              <w:right w:w="80" w:type="dxa"/>
            </w:tcMar>
          </w:tcPr>
          <w:p w14:paraId="1A875DB9" w14:textId="77777777" w:rsidR="00D67E55" w:rsidRDefault="00F266ED">
            <w:pPr>
              <w:jc w:val="left"/>
            </w:pPr>
            <w:r>
              <w:rPr>
                <w:sz w:val="16"/>
              </w:rPr>
              <w:t>Aktionärskommunikation und Tarifverhandlungen und ihre September-Korrespondenz sind wichtig, um die frühere Kontur von Entscheidungen zu validieren.</w:t>
            </w:r>
          </w:p>
        </w:tc>
      </w:tr>
      <w:tr w:rsidR="00D67E55" w14:paraId="20A81938" w14:textId="77777777">
        <w:trPr>
          <w:cantSplit/>
          <w:jc w:val="center"/>
        </w:trPr>
        <w:tc>
          <w:tcPr>
            <w:tcW w:w="1728" w:type="dxa"/>
            <w:tcMar>
              <w:top w:w="60" w:type="dxa"/>
              <w:left w:w="80" w:type="dxa"/>
              <w:bottom w:w="60" w:type="dxa"/>
              <w:right w:w="80" w:type="dxa"/>
            </w:tcMar>
          </w:tcPr>
          <w:p w14:paraId="23DCFD90" w14:textId="77777777" w:rsidR="00D67E55" w:rsidRDefault="00F266ED">
            <w:pPr>
              <w:jc w:val="left"/>
            </w:pPr>
            <w:r>
              <w:rPr>
                <w:sz w:val="16"/>
              </w:rPr>
              <w:lastRenderedPageBreak/>
              <w:t>Megainpharm GmbH / MIF</w:t>
            </w:r>
          </w:p>
        </w:tc>
        <w:tc>
          <w:tcPr>
            <w:tcW w:w="4651" w:type="dxa"/>
            <w:tcMar>
              <w:top w:w="60" w:type="dxa"/>
              <w:left w:w="80" w:type="dxa"/>
              <w:bottom w:w="60" w:type="dxa"/>
              <w:right w:w="80" w:type="dxa"/>
            </w:tcMar>
          </w:tcPr>
          <w:p w14:paraId="6FF838CE" w14:textId="77777777" w:rsidR="00D67E55" w:rsidRDefault="00F266ED">
            <w:pPr>
              <w:jc w:val="left"/>
            </w:pPr>
            <w:r>
              <w:rPr>
                <w:sz w:val="16"/>
              </w:rPr>
              <w:t>Das österreichische Unternehmen ist der historische Eigentümer eines bedeutenden IP-Perimeters, rechtlich unabhängig; seine Unternehmenszulassung kann den Willen der Gruppe nicht ersetzen.</w:t>
            </w:r>
          </w:p>
        </w:tc>
      </w:tr>
      <w:tr w:rsidR="00D67E55" w14:paraId="0755D7FD" w14:textId="77777777">
        <w:trPr>
          <w:cantSplit/>
          <w:jc w:val="center"/>
        </w:trPr>
        <w:tc>
          <w:tcPr>
            <w:tcW w:w="1728" w:type="dxa"/>
            <w:tcMar>
              <w:top w:w="60" w:type="dxa"/>
              <w:left w:w="80" w:type="dxa"/>
              <w:bottom w:w="60" w:type="dxa"/>
              <w:right w:w="80" w:type="dxa"/>
            </w:tcMar>
          </w:tcPr>
          <w:p w14:paraId="6BDC3FD9" w14:textId="77777777" w:rsidR="00D67E55" w:rsidRDefault="00F266ED">
            <w:pPr>
              <w:jc w:val="left"/>
            </w:pPr>
            <w:r>
              <w:rPr>
                <w:sz w:val="16"/>
              </w:rPr>
              <w:t>Innovexa Holdings</w:t>
            </w:r>
          </w:p>
        </w:tc>
        <w:tc>
          <w:tcPr>
            <w:tcW w:w="4651" w:type="dxa"/>
            <w:tcMar>
              <w:top w:w="60" w:type="dxa"/>
              <w:left w:w="80" w:type="dxa"/>
              <w:bottom w:w="60" w:type="dxa"/>
              <w:right w:w="80" w:type="dxa"/>
            </w:tcMar>
          </w:tcPr>
          <w:p w14:paraId="7B8A651C" w14:textId="77777777" w:rsidR="00D67E55" w:rsidRDefault="00F266ED">
            <w:pPr>
              <w:jc w:val="left"/>
            </w:pPr>
            <w:r>
              <w:rPr>
                <w:sz w:val="16"/>
              </w:rPr>
              <w:t>Die auf den VAE basierende Struktur, die vor dem offenen Konflikt etabliert wurde, wurde von Project Estate als mögliches Element der zukünftigen IP/M&amp;A-Architektur betrachtet.</w:t>
            </w:r>
          </w:p>
        </w:tc>
      </w:tr>
      <w:tr w:rsidR="00D67E55" w14:paraId="7594778B" w14:textId="77777777">
        <w:trPr>
          <w:cantSplit/>
          <w:jc w:val="center"/>
        </w:trPr>
        <w:tc>
          <w:tcPr>
            <w:tcW w:w="1728" w:type="dxa"/>
            <w:tcMar>
              <w:top w:w="60" w:type="dxa"/>
              <w:left w:w="80" w:type="dxa"/>
              <w:bottom w:w="60" w:type="dxa"/>
              <w:right w:w="80" w:type="dxa"/>
            </w:tcMar>
          </w:tcPr>
          <w:p w14:paraId="034BBF49" w14:textId="77777777" w:rsidR="00D67E55" w:rsidRDefault="00F266ED">
            <w:pPr>
              <w:jc w:val="left"/>
            </w:pPr>
            <w:r>
              <w:rPr>
                <w:sz w:val="16"/>
              </w:rPr>
              <w:t>NSP</w:t>
            </w:r>
          </w:p>
        </w:tc>
        <w:tc>
          <w:tcPr>
            <w:tcW w:w="4651" w:type="dxa"/>
            <w:tcMar>
              <w:top w:w="60" w:type="dxa"/>
              <w:left w:w="80" w:type="dxa"/>
              <w:bottom w:w="60" w:type="dxa"/>
              <w:right w:w="80" w:type="dxa"/>
            </w:tcMar>
          </w:tcPr>
          <w:p w14:paraId="0BF5F3BE" w14:textId="77777777" w:rsidR="00D67E55" w:rsidRDefault="00F266ED">
            <w:pPr>
              <w:jc w:val="left"/>
            </w:pPr>
            <w:r>
              <w:rPr>
                <w:sz w:val="16"/>
              </w:rPr>
              <w:t>Rechtsanwälte Evgeny Gorokhov in M &amp; A 2025; dokumentierte Verkäuferseite Risiken. 15.05.2025 verzeichnete eine Divergenz der vertretenen Interessen, nicht einen persönlichen Konflikt zwischen Evgeny Gorokhov und Anton.</w:t>
            </w:r>
          </w:p>
        </w:tc>
      </w:tr>
      <w:tr w:rsidR="00D67E55" w14:paraId="3192632B" w14:textId="77777777">
        <w:trPr>
          <w:cantSplit/>
          <w:jc w:val="center"/>
        </w:trPr>
        <w:tc>
          <w:tcPr>
            <w:tcW w:w="1728" w:type="dxa"/>
            <w:tcMar>
              <w:top w:w="60" w:type="dxa"/>
              <w:left w:w="80" w:type="dxa"/>
              <w:bottom w:w="60" w:type="dxa"/>
              <w:right w:w="80" w:type="dxa"/>
            </w:tcMar>
          </w:tcPr>
          <w:p w14:paraId="5BBB172E" w14:textId="77777777" w:rsidR="00D67E55" w:rsidRDefault="00F266ED">
            <w:pPr>
              <w:jc w:val="left"/>
            </w:pPr>
            <w:r>
              <w:rPr>
                <w:sz w:val="16"/>
              </w:rPr>
              <w:t>Käufer / Pharmstandard-bezogene Kontur</w:t>
            </w:r>
          </w:p>
        </w:tc>
        <w:tc>
          <w:tcPr>
            <w:tcW w:w="4651" w:type="dxa"/>
            <w:tcMar>
              <w:top w:w="60" w:type="dxa"/>
              <w:left w:w="80" w:type="dxa"/>
              <w:bottom w:w="60" w:type="dxa"/>
              <w:right w:w="80" w:type="dxa"/>
            </w:tcMar>
          </w:tcPr>
          <w:p w14:paraId="33752ED5" w14:textId="77777777" w:rsidR="00D67E55" w:rsidRDefault="00F266ED">
            <w:pPr>
              <w:jc w:val="left"/>
            </w:pPr>
            <w:r>
              <w:rPr>
                <w:sz w:val="16"/>
              </w:rPr>
              <w:t>Bis April 2025 wird die wirtschaftliche Kontur des Käufers in der NSP-Korrespondenz ausdrücklich als "Pharmstandard" bezeichnet, was die Beteiligung des Käufers am Familienkonflikt 2024 nicht belegt.</w:t>
            </w:r>
          </w:p>
        </w:tc>
      </w:tr>
    </w:tbl>
    <w:p w14:paraId="57F32E87" w14:textId="77777777" w:rsidR="00D67E55" w:rsidRDefault="00D67E55"/>
    <w:p w14:paraId="274CDCF1" w14:textId="77777777" w:rsidR="00D67E55" w:rsidRDefault="00F266ED">
      <w:pPr>
        <w:pStyle w:val="21"/>
      </w:pPr>
      <w:r>
        <w:rPr>
          <w:rFonts w:ascii="Arial" w:hAnsi="Arial"/>
          <w:sz w:val="20"/>
        </w:rPr>
        <w:t>4. Kompakte Abfolge der Ereignisse</w:t>
      </w:r>
    </w:p>
    <w:tbl>
      <w:tblPr>
        <w:tblStyle w:val="aff0"/>
        <w:tblW w:w="0" w:type="auto"/>
        <w:jc w:val="center"/>
        <w:tblLayout w:type="fixed"/>
        <w:tblLook w:val="04A0" w:firstRow="1" w:lastRow="0" w:firstColumn="1" w:lastColumn="0" w:noHBand="0" w:noVBand="1"/>
      </w:tblPr>
      <w:tblGrid>
        <w:gridCol w:w="1512"/>
        <w:gridCol w:w="4867"/>
      </w:tblGrid>
      <w:tr w:rsidR="00D67E55" w14:paraId="044B42E3" w14:textId="77777777">
        <w:trPr>
          <w:cantSplit/>
          <w:jc w:val="center"/>
          <w:tblHeader/>
        </w:trPr>
        <w:tc>
          <w:tcPr>
            <w:tcW w:w="1512" w:type="dxa"/>
            <w:shd w:val="clear" w:color="auto" w:fill="EAF0F7"/>
            <w:tcMar>
              <w:top w:w="60" w:type="dxa"/>
              <w:left w:w="80" w:type="dxa"/>
              <w:bottom w:w="60" w:type="dxa"/>
              <w:right w:w="80" w:type="dxa"/>
            </w:tcMar>
          </w:tcPr>
          <w:p w14:paraId="4AC4D29B" w14:textId="77777777" w:rsidR="00D67E55" w:rsidRDefault="00F266ED">
            <w:pPr>
              <w:keepNext/>
              <w:jc w:val="left"/>
            </w:pPr>
            <w:r>
              <w:rPr>
                <w:b/>
                <w:sz w:val="16"/>
              </w:rPr>
              <w:t>Datum.</w:t>
            </w:r>
          </w:p>
        </w:tc>
        <w:tc>
          <w:tcPr>
            <w:tcW w:w="4867" w:type="dxa"/>
            <w:shd w:val="clear" w:color="auto" w:fill="EAF0F7"/>
            <w:tcMar>
              <w:top w:w="60" w:type="dxa"/>
              <w:left w:w="80" w:type="dxa"/>
              <w:bottom w:w="60" w:type="dxa"/>
              <w:right w:w="80" w:type="dxa"/>
            </w:tcMar>
          </w:tcPr>
          <w:p w14:paraId="7BD061F7" w14:textId="77777777" w:rsidR="00D67E55" w:rsidRDefault="00F266ED">
            <w:pPr>
              <w:keepNext/>
              <w:jc w:val="left"/>
            </w:pPr>
            <w:r>
              <w:rPr>
                <w:b/>
                <w:sz w:val="16"/>
              </w:rPr>
              <w:t>Ereignis/Wert</w:t>
            </w:r>
          </w:p>
        </w:tc>
      </w:tr>
      <w:tr w:rsidR="00D67E55" w14:paraId="3363C76F" w14:textId="77777777">
        <w:trPr>
          <w:cantSplit/>
          <w:jc w:val="center"/>
        </w:trPr>
        <w:tc>
          <w:tcPr>
            <w:tcW w:w="1512" w:type="dxa"/>
            <w:shd w:val="clear" w:color="auto" w:fill="EAF0F7"/>
            <w:tcMar>
              <w:top w:w="60" w:type="dxa"/>
              <w:left w:w="80" w:type="dxa"/>
              <w:bottom w:w="60" w:type="dxa"/>
              <w:right w:w="80" w:type="dxa"/>
            </w:tcMar>
          </w:tcPr>
          <w:p w14:paraId="56519F35" w14:textId="77777777" w:rsidR="00D67E55" w:rsidRDefault="00F266ED">
            <w:pPr>
              <w:jc w:val="left"/>
            </w:pPr>
            <w:r>
              <w:rPr>
                <w:sz w:val="16"/>
              </w:rPr>
              <w:t>08.07.2024</w:t>
            </w:r>
          </w:p>
        </w:tc>
        <w:tc>
          <w:tcPr>
            <w:tcW w:w="4867" w:type="dxa"/>
            <w:shd w:val="clear" w:color="auto" w:fill="EAF0F7"/>
            <w:tcMar>
              <w:top w:w="60" w:type="dxa"/>
              <w:left w:w="80" w:type="dxa"/>
              <w:bottom w:w="60" w:type="dxa"/>
              <w:right w:w="80" w:type="dxa"/>
            </w:tcMar>
          </w:tcPr>
          <w:p w14:paraId="14559C8F" w14:textId="77777777" w:rsidR="00D67E55" w:rsidRDefault="00F266ED">
            <w:pPr>
              <w:jc w:val="left"/>
            </w:pPr>
            <w:r>
              <w:rPr>
                <w:sz w:val="16"/>
              </w:rPr>
              <w:t>Original E-Mail Evgeny Gorokhov → Papadopoulos cc Konyakhina mit breitem PoA-Entwurf; bitte unterschreiben.</w:t>
            </w:r>
          </w:p>
        </w:tc>
      </w:tr>
      <w:tr w:rsidR="00D67E55" w14:paraId="349B5682" w14:textId="77777777">
        <w:trPr>
          <w:cantSplit/>
          <w:jc w:val="center"/>
        </w:trPr>
        <w:tc>
          <w:tcPr>
            <w:tcW w:w="1512" w:type="dxa"/>
            <w:tcMar>
              <w:top w:w="60" w:type="dxa"/>
              <w:left w:w="80" w:type="dxa"/>
              <w:bottom w:w="60" w:type="dxa"/>
              <w:right w:w="80" w:type="dxa"/>
            </w:tcMar>
          </w:tcPr>
          <w:p w14:paraId="15E6AA9E" w14:textId="77777777" w:rsidR="00D67E55" w:rsidRDefault="00F266ED">
            <w:pPr>
              <w:jc w:val="left"/>
            </w:pPr>
            <w:r>
              <w:rPr>
                <w:sz w:val="16"/>
              </w:rPr>
              <w:t>31.07.2024</w:t>
            </w:r>
          </w:p>
        </w:tc>
        <w:tc>
          <w:tcPr>
            <w:tcW w:w="4867" w:type="dxa"/>
            <w:tcMar>
              <w:top w:w="60" w:type="dxa"/>
              <w:left w:w="80" w:type="dxa"/>
              <w:bottom w:w="60" w:type="dxa"/>
              <w:right w:w="80" w:type="dxa"/>
            </w:tcMar>
          </w:tcPr>
          <w:p w14:paraId="4D2C3934" w14:textId="77777777" w:rsidR="00D67E55" w:rsidRDefault="00F266ED">
            <w:pPr>
              <w:jc w:val="left"/>
            </w:pPr>
            <w:r>
              <w:rPr>
                <w:sz w:val="16"/>
              </w:rPr>
              <w:t>Konsolidierungsdarstellung: Die Gruppe wird als Restrukturierungsobjekt gesehen; IP ist ein separates Element der Zielarchitektur.</w:t>
            </w:r>
          </w:p>
        </w:tc>
      </w:tr>
      <w:tr w:rsidR="00D67E55" w14:paraId="669F9B88" w14:textId="77777777">
        <w:trPr>
          <w:cantSplit/>
          <w:jc w:val="center"/>
        </w:trPr>
        <w:tc>
          <w:tcPr>
            <w:tcW w:w="1512" w:type="dxa"/>
            <w:tcMar>
              <w:top w:w="60" w:type="dxa"/>
              <w:left w:w="80" w:type="dxa"/>
              <w:bottom w:w="60" w:type="dxa"/>
              <w:right w:w="80" w:type="dxa"/>
            </w:tcMar>
          </w:tcPr>
          <w:p w14:paraId="4652922B" w14:textId="77777777" w:rsidR="00D67E55" w:rsidRDefault="00F266ED">
            <w:pPr>
              <w:jc w:val="left"/>
            </w:pPr>
            <w:r>
              <w:rPr>
                <w:sz w:val="16"/>
              </w:rPr>
              <w:t>17-23.08.2024</w:t>
            </w:r>
          </w:p>
        </w:tc>
        <w:tc>
          <w:tcPr>
            <w:tcW w:w="4867" w:type="dxa"/>
            <w:tcMar>
              <w:top w:w="60" w:type="dxa"/>
              <w:left w:w="80" w:type="dxa"/>
              <w:bottom w:w="60" w:type="dxa"/>
              <w:right w:w="80" w:type="dxa"/>
            </w:tcMar>
          </w:tcPr>
          <w:p w14:paraId="68BE4666" w14:textId="77777777" w:rsidR="00D67E55" w:rsidRDefault="00F266ED">
            <w:pPr>
              <w:jc w:val="left"/>
            </w:pPr>
            <w:r>
              <w:rPr>
                <w:sz w:val="16"/>
              </w:rPr>
              <w:t>Innovexa, KYC, Beteiligung von Sidorov; 23. August, der Umstrukturierungsplan, die rechtliche Risikomatrix und der Fahrplan zirkulieren.</w:t>
            </w:r>
          </w:p>
        </w:tc>
      </w:tr>
      <w:tr w:rsidR="00D67E55" w14:paraId="7D9174DD" w14:textId="77777777">
        <w:trPr>
          <w:cantSplit/>
          <w:jc w:val="center"/>
        </w:trPr>
        <w:tc>
          <w:tcPr>
            <w:tcW w:w="1512" w:type="dxa"/>
            <w:tcMar>
              <w:top w:w="60" w:type="dxa"/>
              <w:left w:w="80" w:type="dxa"/>
              <w:bottom w:w="60" w:type="dxa"/>
              <w:right w:w="80" w:type="dxa"/>
            </w:tcMar>
          </w:tcPr>
          <w:p w14:paraId="141EA081" w14:textId="77777777" w:rsidR="00D67E55" w:rsidRDefault="00F266ED">
            <w:pPr>
              <w:jc w:val="left"/>
            </w:pPr>
            <w:r>
              <w:rPr>
                <w:sz w:val="16"/>
              </w:rPr>
              <w:t>26.08.2024</w:t>
            </w:r>
          </w:p>
        </w:tc>
        <w:tc>
          <w:tcPr>
            <w:tcW w:w="4867" w:type="dxa"/>
            <w:tcMar>
              <w:top w:w="60" w:type="dxa"/>
              <w:left w:w="80" w:type="dxa"/>
              <w:bottom w:w="60" w:type="dxa"/>
              <w:right w:w="80" w:type="dxa"/>
            </w:tcMar>
          </w:tcPr>
          <w:p w14:paraId="76001E25" w14:textId="77777777" w:rsidR="00D67E55" w:rsidRDefault="00F266ED">
            <w:pPr>
              <w:jc w:val="left"/>
            </w:pPr>
            <w:r>
              <w:rPr>
                <w:sz w:val="16"/>
              </w:rPr>
              <w:t>Vollständige Aktenkopie des MIF-Innovexa-Abkommens wiederhergestellt: vertraglicher Betrag; Evgeny Gorokhov zitiert PoA 08.07; Sidorov vertritt Innovexa. Gültigkeit/Behörde bleiben umstritten.</w:t>
            </w:r>
          </w:p>
        </w:tc>
      </w:tr>
      <w:tr w:rsidR="00D67E55" w14:paraId="3C2D8832" w14:textId="77777777">
        <w:trPr>
          <w:cantSplit/>
          <w:jc w:val="center"/>
        </w:trPr>
        <w:tc>
          <w:tcPr>
            <w:tcW w:w="1512" w:type="dxa"/>
            <w:tcMar>
              <w:top w:w="60" w:type="dxa"/>
              <w:left w:w="80" w:type="dxa"/>
              <w:bottom w:w="60" w:type="dxa"/>
              <w:right w:w="80" w:type="dxa"/>
            </w:tcMar>
          </w:tcPr>
          <w:p w14:paraId="503D3334" w14:textId="77777777" w:rsidR="00D67E55" w:rsidRDefault="00F266ED">
            <w:pPr>
              <w:jc w:val="left"/>
            </w:pPr>
            <w:r>
              <w:rPr>
                <w:sz w:val="16"/>
              </w:rPr>
              <w:t>28-31.08.2024</w:t>
            </w:r>
          </w:p>
        </w:tc>
        <w:tc>
          <w:tcPr>
            <w:tcW w:w="4867" w:type="dxa"/>
            <w:tcMar>
              <w:top w:w="60" w:type="dxa"/>
              <w:left w:w="80" w:type="dxa"/>
              <w:bottom w:w="60" w:type="dxa"/>
              <w:right w:w="80" w:type="dxa"/>
            </w:tcMar>
          </w:tcPr>
          <w:p w14:paraId="56E2218A" w14:textId="77777777" w:rsidR="00D67E55" w:rsidRDefault="00F266ED">
            <w:pPr>
              <w:jc w:val="left"/>
            </w:pPr>
            <w:r>
              <w:rPr>
                <w:sz w:val="16"/>
              </w:rPr>
              <w:t>DVC fordert eine vollständige IP-MIF an; Evgeny Gorokhov meldet eine geplante Übertragung; eine IP-Perimeter-Datei erscheint; Term Sheet beschreibt direkt das Szenario der VAE / IP.</w:t>
            </w:r>
          </w:p>
        </w:tc>
      </w:tr>
      <w:tr w:rsidR="00D67E55" w14:paraId="65FFD52E" w14:textId="77777777">
        <w:trPr>
          <w:cantSplit/>
          <w:jc w:val="center"/>
        </w:trPr>
        <w:tc>
          <w:tcPr>
            <w:tcW w:w="1512" w:type="dxa"/>
            <w:tcMar>
              <w:top w:w="60" w:type="dxa"/>
              <w:left w:w="80" w:type="dxa"/>
              <w:bottom w:w="60" w:type="dxa"/>
              <w:right w:w="80" w:type="dxa"/>
            </w:tcMar>
          </w:tcPr>
          <w:p w14:paraId="39CEB092" w14:textId="77777777" w:rsidR="00D67E55" w:rsidRDefault="00F266ED">
            <w:pPr>
              <w:jc w:val="left"/>
            </w:pPr>
            <w:r>
              <w:rPr>
                <w:sz w:val="16"/>
              </w:rPr>
              <w:lastRenderedPageBreak/>
              <w:t>04.09.2024</w:t>
            </w:r>
          </w:p>
        </w:tc>
        <w:tc>
          <w:tcPr>
            <w:tcW w:w="4867" w:type="dxa"/>
            <w:tcMar>
              <w:top w:w="60" w:type="dxa"/>
              <w:left w:w="80" w:type="dxa"/>
              <w:bottom w:w="60" w:type="dxa"/>
              <w:right w:w="80" w:type="dxa"/>
            </w:tcMar>
          </w:tcPr>
          <w:p w14:paraId="495892AD" w14:textId="77777777" w:rsidR="00D67E55" w:rsidRDefault="00F266ED">
            <w:pPr>
              <w:jc w:val="left"/>
            </w:pPr>
            <w:r>
              <w:rPr>
                <w:sz w:val="16"/>
              </w:rPr>
              <w:t>Evgeny Gorokhov E-Mail enthält die vorgeschlagene kommerzielle Version: Gefundene Vertragskopie 26.08 = Vertragsbetrag; Ergänzung 27.09 speichert den Vertragsbetrag.</w:t>
            </w:r>
          </w:p>
        </w:tc>
      </w:tr>
      <w:tr w:rsidR="00D67E55" w14:paraId="36289B34" w14:textId="77777777">
        <w:trPr>
          <w:cantSplit/>
          <w:jc w:val="center"/>
        </w:trPr>
        <w:tc>
          <w:tcPr>
            <w:tcW w:w="1512" w:type="dxa"/>
            <w:tcMar>
              <w:top w:w="60" w:type="dxa"/>
              <w:left w:w="80" w:type="dxa"/>
              <w:bottom w:w="60" w:type="dxa"/>
              <w:right w:w="80" w:type="dxa"/>
            </w:tcMar>
          </w:tcPr>
          <w:p w14:paraId="22A239DA" w14:textId="77777777" w:rsidR="00D67E55" w:rsidRDefault="00F266ED">
            <w:pPr>
              <w:jc w:val="left"/>
            </w:pPr>
            <w:r>
              <w:rPr>
                <w:sz w:val="16"/>
              </w:rPr>
              <w:t>18/19.09.2024</w:t>
            </w:r>
          </w:p>
        </w:tc>
        <w:tc>
          <w:tcPr>
            <w:tcW w:w="4867" w:type="dxa"/>
            <w:tcMar>
              <w:top w:w="60" w:type="dxa"/>
              <w:left w:w="80" w:type="dxa"/>
              <w:bottom w:w="60" w:type="dxa"/>
              <w:right w:w="80" w:type="dxa"/>
            </w:tcMar>
          </w:tcPr>
          <w:p w14:paraId="44922880" w14:textId="77777777" w:rsidR="00D67E55" w:rsidRDefault="00F266ED">
            <w:pPr>
              <w:jc w:val="left"/>
            </w:pPr>
            <w:r>
              <w:rPr>
                <w:sz w:val="16"/>
              </w:rPr>
              <w:t>Geborgene E-Mail-Anhänge: PoA für NSP + Patentvertreter; sie ermächtigen Evgeny Gorokhov nicht, Verträge abzuschließen.</w:t>
            </w:r>
          </w:p>
        </w:tc>
      </w:tr>
      <w:tr w:rsidR="00D67E55" w14:paraId="7FAA72B2" w14:textId="77777777">
        <w:trPr>
          <w:cantSplit/>
          <w:jc w:val="center"/>
        </w:trPr>
        <w:tc>
          <w:tcPr>
            <w:tcW w:w="1512" w:type="dxa"/>
            <w:tcMar>
              <w:top w:w="60" w:type="dxa"/>
              <w:left w:w="80" w:type="dxa"/>
              <w:bottom w:w="60" w:type="dxa"/>
              <w:right w:w="80" w:type="dxa"/>
            </w:tcMar>
          </w:tcPr>
          <w:p w14:paraId="4ED6F886" w14:textId="77777777" w:rsidR="00D67E55" w:rsidRDefault="00F266ED">
            <w:pPr>
              <w:jc w:val="left"/>
            </w:pPr>
            <w:r>
              <w:rPr>
                <w:sz w:val="16"/>
              </w:rPr>
              <w:t>27.09.2024</w:t>
            </w:r>
          </w:p>
        </w:tc>
        <w:tc>
          <w:tcPr>
            <w:tcW w:w="4867" w:type="dxa"/>
            <w:tcMar>
              <w:top w:w="60" w:type="dxa"/>
              <w:left w:w="80" w:type="dxa"/>
              <w:bottom w:w="60" w:type="dxa"/>
              <w:right w:w="80" w:type="dxa"/>
            </w:tcMar>
          </w:tcPr>
          <w:p w14:paraId="28091655" w14:textId="77777777" w:rsidR="00D67E55" w:rsidRDefault="00F266ED">
            <w:pPr>
              <w:jc w:val="left"/>
            </w:pPr>
            <w:r>
              <w:rPr>
                <w:sz w:val="16"/>
              </w:rPr>
              <w:t>Recovered Supplemental Agreement No.1 passt die IP-Liste an und speichert direkt den Kaufpreis.</w:t>
            </w:r>
          </w:p>
        </w:tc>
      </w:tr>
      <w:tr w:rsidR="00D67E55" w14:paraId="7303A723" w14:textId="77777777">
        <w:trPr>
          <w:cantSplit/>
          <w:jc w:val="center"/>
        </w:trPr>
        <w:tc>
          <w:tcPr>
            <w:tcW w:w="1512" w:type="dxa"/>
            <w:tcMar>
              <w:top w:w="60" w:type="dxa"/>
              <w:left w:w="80" w:type="dxa"/>
              <w:bottom w:w="60" w:type="dxa"/>
              <w:right w:w="80" w:type="dxa"/>
            </w:tcMar>
          </w:tcPr>
          <w:p w14:paraId="48FF233B" w14:textId="77777777" w:rsidR="00D67E55" w:rsidRDefault="00F266ED">
            <w:pPr>
              <w:jc w:val="left"/>
            </w:pPr>
            <w:r>
              <w:rPr>
                <w:sz w:val="16"/>
              </w:rPr>
              <w:t>05-27.09.2024</w:t>
            </w:r>
          </w:p>
        </w:tc>
        <w:tc>
          <w:tcPr>
            <w:tcW w:w="4867" w:type="dxa"/>
            <w:tcMar>
              <w:top w:w="60" w:type="dxa"/>
              <w:left w:w="80" w:type="dxa"/>
              <w:bottom w:w="60" w:type="dxa"/>
              <w:right w:w="80" w:type="dxa"/>
            </w:tcMar>
          </w:tcPr>
          <w:p w14:paraId="7EF75EFA" w14:textId="77777777" w:rsidR="00D67E55" w:rsidRDefault="00F266ED">
            <w:pPr>
              <w:jc w:val="left"/>
            </w:pPr>
            <w:r>
              <w:rPr>
                <w:sz w:val="16"/>
              </w:rPr>
              <w:t>Der Streit um die Vollmacht, den Geschäftsführer und das MIF-Management wird offen; am 27. September wird der Begriff „Unternehmenskonflikt bereits direkt innerhalb des Unternehmens verwendet.</w:t>
            </w:r>
          </w:p>
        </w:tc>
      </w:tr>
      <w:tr w:rsidR="00D67E55" w14:paraId="35ABFBD2" w14:textId="77777777">
        <w:trPr>
          <w:cantSplit/>
          <w:jc w:val="center"/>
        </w:trPr>
        <w:tc>
          <w:tcPr>
            <w:tcW w:w="1512" w:type="dxa"/>
            <w:tcMar>
              <w:top w:w="60" w:type="dxa"/>
              <w:left w:w="80" w:type="dxa"/>
              <w:bottom w:w="60" w:type="dxa"/>
              <w:right w:w="80" w:type="dxa"/>
            </w:tcMar>
          </w:tcPr>
          <w:p w14:paraId="6E2FCF8A" w14:textId="77777777" w:rsidR="00D67E55" w:rsidRDefault="00F266ED">
            <w:pPr>
              <w:jc w:val="left"/>
            </w:pPr>
            <w:r>
              <w:rPr>
                <w:sz w:val="16"/>
              </w:rPr>
              <w:t>04.11.2024 / 27.01.2025</w:t>
            </w:r>
          </w:p>
        </w:tc>
        <w:tc>
          <w:tcPr>
            <w:tcW w:w="4867" w:type="dxa"/>
            <w:tcMar>
              <w:top w:w="60" w:type="dxa"/>
              <w:left w:w="80" w:type="dxa"/>
              <w:bottom w:w="60" w:type="dxa"/>
              <w:right w:w="80" w:type="dxa"/>
            </w:tcMar>
          </w:tcPr>
          <w:p w14:paraId="3B39DBA4" w14:textId="77777777" w:rsidR="00D67E55" w:rsidRDefault="00F266ED">
            <w:pPr>
              <w:jc w:val="left"/>
            </w:pPr>
            <w:r>
              <w:rPr>
                <w:sz w:val="16"/>
              </w:rPr>
              <w:t>Spätere Materialien zeigen die Veröffentlichungsdaten von Evgeny Gorokhov aus den russischen und MIF-Schaltungen.</w:t>
            </w:r>
          </w:p>
        </w:tc>
      </w:tr>
      <w:tr w:rsidR="00D67E55" w14:paraId="358B4012" w14:textId="77777777">
        <w:trPr>
          <w:cantSplit/>
          <w:jc w:val="center"/>
        </w:trPr>
        <w:tc>
          <w:tcPr>
            <w:tcW w:w="1512" w:type="dxa"/>
            <w:tcMar>
              <w:top w:w="60" w:type="dxa"/>
              <w:left w:w="80" w:type="dxa"/>
              <w:bottom w:w="60" w:type="dxa"/>
              <w:right w:w="80" w:type="dxa"/>
            </w:tcMar>
          </w:tcPr>
          <w:p w14:paraId="21E86794" w14:textId="77777777" w:rsidR="00D67E55" w:rsidRDefault="00F266ED">
            <w:pPr>
              <w:jc w:val="left"/>
            </w:pPr>
            <w:r>
              <w:rPr>
                <w:sz w:val="16"/>
              </w:rPr>
              <w:t>03.04.2025</w:t>
            </w:r>
          </w:p>
        </w:tc>
        <w:tc>
          <w:tcPr>
            <w:tcW w:w="4867" w:type="dxa"/>
            <w:tcMar>
              <w:top w:w="60" w:type="dxa"/>
              <w:left w:w="80" w:type="dxa"/>
              <w:bottom w:w="60" w:type="dxa"/>
              <w:right w:w="80" w:type="dxa"/>
            </w:tcMar>
          </w:tcPr>
          <w:p w14:paraId="6BDA6CC2" w14:textId="77777777" w:rsidR="00D67E55" w:rsidRDefault="00F266ED">
            <w:pPr>
              <w:jc w:val="left"/>
            </w:pPr>
            <w:r>
              <w:rPr>
                <w:sz w:val="16"/>
              </w:rPr>
              <w:t>Evgeny Gorokhov erzählt Andrey Gorokhov, dass GD Zinsen und eine erste Rückzahlung auf Mittel erhalten hat, die als Andrey Gorokhovs Geld präsentiert wurden.Dies bestätigt die Episode der Mediation, aber nicht die allgemeine Agenturmacht.</w:t>
            </w:r>
          </w:p>
        </w:tc>
      </w:tr>
      <w:tr w:rsidR="00D67E55" w14:paraId="35A69D76" w14:textId="77777777">
        <w:trPr>
          <w:cantSplit/>
          <w:jc w:val="center"/>
        </w:trPr>
        <w:tc>
          <w:tcPr>
            <w:tcW w:w="1512" w:type="dxa"/>
            <w:tcMar>
              <w:top w:w="60" w:type="dxa"/>
              <w:left w:w="80" w:type="dxa"/>
              <w:bottom w:w="60" w:type="dxa"/>
              <w:right w:w="80" w:type="dxa"/>
            </w:tcMar>
          </w:tcPr>
          <w:p w14:paraId="3A25B41A" w14:textId="77777777" w:rsidR="00D67E55" w:rsidRDefault="00F266ED">
            <w:pPr>
              <w:jc w:val="left"/>
            </w:pPr>
            <w:r>
              <w:rPr>
                <w:sz w:val="16"/>
              </w:rPr>
              <w:t>14-23.04.2025</w:t>
            </w:r>
          </w:p>
        </w:tc>
        <w:tc>
          <w:tcPr>
            <w:tcW w:w="4867" w:type="dxa"/>
            <w:tcMar>
              <w:top w:w="60" w:type="dxa"/>
              <w:left w:w="80" w:type="dxa"/>
              <w:bottom w:w="60" w:type="dxa"/>
              <w:right w:w="80" w:type="dxa"/>
            </w:tcMar>
          </w:tcPr>
          <w:p w14:paraId="537B20D0" w14:textId="77777777" w:rsidR="00D67E55" w:rsidRDefault="00F266ED">
            <w:pPr>
              <w:jc w:val="left"/>
            </w:pPr>
            <w:r>
              <w:rPr>
                <w:sz w:val="16"/>
              </w:rPr>
              <w:t>Käuferseitiges SPA von Infamed K LLC; Evgeny Gorokhov formuliert Verkäufer- / IP-Risiken; Am 23. April wird die NSP-Meeting-Kontur bereits direkt als "Pharmstandard Deal" bezeichnet.</w:t>
            </w:r>
          </w:p>
        </w:tc>
      </w:tr>
      <w:tr w:rsidR="00D67E55" w14:paraId="5DF2B91E" w14:textId="77777777">
        <w:trPr>
          <w:cantSplit/>
          <w:jc w:val="center"/>
        </w:trPr>
        <w:tc>
          <w:tcPr>
            <w:tcW w:w="1512" w:type="dxa"/>
            <w:tcMar>
              <w:top w:w="60" w:type="dxa"/>
              <w:left w:w="80" w:type="dxa"/>
              <w:bottom w:w="60" w:type="dxa"/>
              <w:right w:w="80" w:type="dxa"/>
            </w:tcMar>
          </w:tcPr>
          <w:p w14:paraId="53F37FCC" w14:textId="77777777" w:rsidR="00D67E55" w:rsidRDefault="00F266ED">
            <w:pPr>
              <w:jc w:val="left"/>
            </w:pPr>
            <w:r>
              <w:rPr>
                <w:sz w:val="16"/>
              </w:rPr>
              <w:t>28.04-12.05.2025</w:t>
            </w:r>
          </w:p>
        </w:tc>
        <w:tc>
          <w:tcPr>
            <w:tcW w:w="4867" w:type="dxa"/>
            <w:tcMar>
              <w:top w:w="60" w:type="dxa"/>
              <w:left w:w="80" w:type="dxa"/>
              <w:bottom w:w="60" w:type="dxa"/>
              <w:right w:w="80" w:type="dxa"/>
            </w:tcMar>
          </w:tcPr>
          <w:p w14:paraId="3F7A9D56" w14:textId="77777777" w:rsidR="00D67E55" w:rsidRDefault="00F266ED">
            <w:pPr>
              <w:jc w:val="left"/>
            </w:pPr>
            <w:r>
              <w:rPr>
                <w:sz w:val="16"/>
              </w:rPr>
              <w:t>Anton verhandelt aktiv, übermittelt Versionen von SPA und bittet NSP um Korrekturen. Am 12. Mai weist die NSP darauf hin, dass die überwiegende Mehrheit der Schutzmaßnahmen nicht akzeptiert wurde.</w:t>
            </w:r>
          </w:p>
        </w:tc>
      </w:tr>
      <w:tr w:rsidR="00D67E55" w14:paraId="5B684EEE" w14:textId="77777777">
        <w:trPr>
          <w:cantSplit/>
          <w:jc w:val="center"/>
        </w:trPr>
        <w:tc>
          <w:tcPr>
            <w:tcW w:w="1512" w:type="dxa"/>
            <w:tcMar>
              <w:top w:w="60" w:type="dxa"/>
              <w:left w:w="80" w:type="dxa"/>
              <w:bottom w:w="60" w:type="dxa"/>
              <w:right w:w="80" w:type="dxa"/>
            </w:tcMar>
          </w:tcPr>
          <w:p w14:paraId="43B49BAD" w14:textId="77777777" w:rsidR="00D67E55" w:rsidRDefault="00F266ED">
            <w:pPr>
              <w:jc w:val="left"/>
            </w:pPr>
            <w:r>
              <w:rPr>
                <w:sz w:val="16"/>
              </w:rPr>
              <w:t>15.05.2025</w:t>
            </w:r>
          </w:p>
        </w:tc>
        <w:tc>
          <w:tcPr>
            <w:tcW w:w="4867" w:type="dxa"/>
            <w:tcMar>
              <w:top w:w="60" w:type="dxa"/>
              <w:left w:w="80" w:type="dxa"/>
              <w:bottom w:w="60" w:type="dxa"/>
              <w:right w:w="80" w:type="dxa"/>
            </w:tcMar>
          </w:tcPr>
          <w:p w14:paraId="02C50548" w14:textId="77777777" w:rsidR="00D67E55" w:rsidRDefault="00F266ED">
            <w:pPr>
              <w:jc w:val="left"/>
            </w:pPr>
            <w:r>
              <w:rPr>
                <w:sz w:val="16"/>
              </w:rPr>
              <w:t>Nsp beendet anton und evgeny gorokhovs gemeinsame m &amp; a-escort aufgrund einer divergenz der rechtlichen interessen.</w:t>
            </w:r>
          </w:p>
        </w:tc>
      </w:tr>
      <w:tr w:rsidR="00D67E55" w14:paraId="14CF0DE0" w14:textId="77777777">
        <w:trPr>
          <w:cantSplit/>
          <w:jc w:val="center"/>
        </w:trPr>
        <w:tc>
          <w:tcPr>
            <w:tcW w:w="1512" w:type="dxa"/>
            <w:tcMar>
              <w:top w:w="60" w:type="dxa"/>
              <w:left w:w="80" w:type="dxa"/>
              <w:bottom w:w="60" w:type="dxa"/>
              <w:right w:w="80" w:type="dxa"/>
            </w:tcMar>
          </w:tcPr>
          <w:p w14:paraId="4BA8EE02" w14:textId="77777777" w:rsidR="00D67E55" w:rsidRDefault="00F266ED">
            <w:pPr>
              <w:jc w:val="left"/>
            </w:pPr>
            <w:r>
              <w:rPr>
                <w:sz w:val="16"/>
              </w:rPr>
              <w:t>23.05-06.06.2025</w:t>
            </w:r>
          </w:p>
        </w:tc>
        <w:tc>
          <w:tcPr>
            <w:tcW w:w="4867" w:type="dxa"/>
            <w:tcMar>
              <w:top w:w="60" w:type="dxa"/>
              <w:left w:w="80" w:type="dxa"/>
              <w:bottom w:w="60" w:type="dxa"/>
              <w:right w:w="80" w:type="dxa"/>
            </w:tcMar>
          </w:tcPr>
          <w:p w14:paraId="2ABFA2A3" w14:textId="77777777" w:rsidR="00D67E55" w:rsidRDefault="00F266ED">
            <w:pPr>
              <w:jc w:val="left"/>
            </w:pPr>
            <w:r>
              <w:rPr>
                <w:sz w:val="16"/>
              </w:rPr>
              <w:t>Eigentümerschaft/Governance MIF ändert sich: New Medical Technologies KFT erscheint in der öffentlichen Kette, dann der neue CEO Harmas.</w:t>
            </w:r>
          </w:p>
        </w:tc>
      </w:tr>
      <w:tr w:rsidR="00D67E55" w14:paraId="2A459CF8" w14:textId="77777777">
        <w:trPr>
          <w:cantSplit/>
          <w:jc w:val="center"/>
        </w:trPr>
        <w:tc>
          <w:tcPr>
            <w:tcW w:w="1512" w:type="dxa"/>
            <w:tcMar>
              <w:top w:w="60" w:type="dxa"/>
              <w:left w:w="80" w:type="dxa"/>
              <w:bottom w:w="60" w:type="dxa"/>
              <w:right w:w="80" w:type="dxa"/>
            </w:tcMar>
          </w:tcPr>
          <w:p w14:paraId="665408DD" w14:textId="77777777" w:rsidR="00D67E55" w:rsidRDefault="00F266ED">
            <w:pPr>
              <w:jc w:val="left"/>
            </w:pPr>
            <w:r>
              <w:rPr>
                <w:sz w:val="16"/>
              </w:rPr>
              <w:lastRenderedPageBreak/>
              <w:t>Juni 2025</w:t>
            </w:r>
          </w:p>
        </w:tc>
        <w:tc>
          <w:tcPr>
            <w:tcW w:w="4867" w:type="dxa"/>
            <w:tcMar>
              <w:top w:w="60" w:type="dxa"/>
              <w:left w:w="80" w:type="dxa"/>
              <w:bottom w:w="60" w:type="dxa"/>
              <w:right w:w="80" w:type="dxa"/>
            </w:tcMar>
          </w:tcPr>
          <w:p w14:paraId="40E4F2DB" w14:textId="77777777" w:rsidR="00D67E55" w:rsidRDefault="00F266ED">
            <w:pPr>
              <w:jc w:val="left"/>
            </w:pPr>
            <w:r>
              <w:rPr>
                <w:sz w:val="16"/>
              </w:rPr>
              <w:t>Die M&amp;A-Phase sollte getrennt vom Familienkonflikt von 2024 analysiert werden.</w:t>
            </w:r>
          </w:p>
        </w:tc>
      </w:tr>
      <w:tr w:rsidR="00D67E55" w14:paraId="3E6E7B12" w14:textId="77777777">
        <w:trPr>
          <w:cantSplit/>
          <w:jc w:val="center"/>
        </w:trPr>
        <w:tc>
          <w:tcPr>
            <w:tcW w:w="1512" w:type="dxa"/>
            <w:tcMar>
              <w:top w:w="60" w:type="dxa"/>
              <w:left w:w="80" w:type="dxa"/>
              <w:bottom w:w="60" w:type="dxa"/>
              <w:right w:w="80" w:type="dxa"/>
            </w:tcMar>
          </w:tcPr>
          <w:p w14:paraId="4BA38EAA" w14:textId="77777777" w:rsidR="00D67E55" w:rsidRDefault="00F266ED">
            <w:pPr>
              <w:jc w:val="left"/>
            </w:pPr>
            <w:r>
              <w:rPr>
                <w:sz w:val="16"/>
              </w:rPr>
              <w:t>08.07.2025 und darüber hinaus</w:t>
            </w:r>
          </w:p>
        </w:tc>
        <w:tc>
          <w:tcPr>
            <w:tcW w:w="4867" w:type="dxa"/>
            <w:tcMar>
              <w:top w:w="60" w:type="dxa"/>
              <w:left w:w="80" w:type="dxa"/>
              <w:bottom w:w="60" w:type="dxa"/>
              <w:right w:w="80" w:type="dxa"/>
            </w:tcMar>
          </w:tcPr>
          <w:p w14:paraId="5CA4EEEA" w14:textId="77777777" w:rsidR="00D67E55" w:rsidRDefault="00F266ED">
            <w:pPr>
              <w:jc w:val="left"/>
            </w:pPr>
            <w:r>
              <w:rPr>
                <w:sz w:val="16"/>
              </w:rPr>
              <w:t>Die umstrittene Abtretung von Andrey Gorokhov → GD ist datiert; später wird es in Rechtsstreitigkeiten verwendet.Die Unterschrift, die Grundlage und die Gültigkeit der Zahlung bleiben umstritten.</w:t>
            </w:r>
          </w:p>
        </w:tc>
      </w:tr>
      <w:tr w:rsidR="00D67E55" w14:paraId="4B2F4ECE" w14:textId="77777777">
        <w:trPr>
          <w:cantSplit/>
          <w:jc w:val="center"/>
        </w:trPr>
        <w:tc>
          <w:tcPr>
            <w:tcW w:w="1512" w:type="dxa"/>
            <w:tcMar>
              <w:top w:w="60" w:type="dxa"/>
              <w:left w:w="80" w:type="dxa"/>
              <w:bottom w:w="60" w:type="dxa"/>
              <w:right w:w="80" w:type="dxa"/>
            </w:tcMar>
          </w:tcPr>
          <w:p w14:paraId="2F74493E" w14:textId="77777777" w:rsidR="00D67E55" w:rsidRDefault="00F266ED">
            <w:pPr>
              <w:jc w:val="left"/>
            </w:pPr>
            <w:r>
              <w:rPr>
                <w:sz w:val="16"/>
              </w:rPr>
              <w:t>13.04-19.08.2026</w:t>
            </w:r>
          </w:p>
        </w:tc>
        <w:tc>
          <w:tcPr>
            <w:tcW w:w="4867" w:type="dxa"/>
            <w:tcMar>
              <w:top w:w="60" w:type="dxa"/>
              <w:left w:w="80" w:type="dxa"/>
              <w:bottom w:w="60" w:type="dxa"/>
              <w:right w:w="80" w:type="dxa"/>
            </w:tcMar>
          </w:tcPr>
          <w:p w14:paraId="1B2A91FD" w14:textId="77777777" w:rsidR="00D67E55" w:rsidRDefault="00F266ED">
            <w:pPr>
              <w:jc w:val="left"/>
            </w:pPr>
            <w:r>
              <w:rPr>
                <w:sz w:val="16"/>
              </w:rPr>
              <w:t>Die ASG Wien trifft eine ungünstige erstinstanzliche Entscheidung; sie wird 18.08 übergeben; 19.08 Evgeny Gorokhov beauftragt Berufung, sich vorzubereiten. 12.08 WKStA weist gesondert zusätzliche Ermittlungsmaßnahmen an.</w:t>
            </w:r>
          </w:p>
        </w:tc>
      </w:tr>
    </w:tbl>
    <w:p w14:paraId="70EF2201" w14:textId="77777777" w:rsidR="00D67E55" w:rsidRDefault="00D67E55"/>
    <w:p w14:paraId="20F87328" w14:textId="77777777" w:rsidR="00D67E55" w:rsidRDefault="00F266ED">
      <w:pPr>
        <w:pStyle w:val="21"/>
      </w:pPr>
      <w:r>
        <w:rPr>
          <w:rFonts w:ascii="Arial" w:hAnsi="Arial"/>
          <w:sz w:val="20"/>
        </w:rPr>
        <w:t>5. Kompaktes Ursachenmodell des Konflikts</w:t>
      </w:r>
    </w:p>
    <w:p w14:paraId="7666837E" w14:textId="77777777" w:rsidR="00D67E55" w:rsidRDefault="00F266ED">
      <w:r>
        <w:t>Die Dokumente unterstützen am konsequentesten nicht die lineare Formel „Ein Deal hat den gesamten Konflikt verursacht, sondern eine Abfolge mehrerer Prozesse: interne kommerzielle Kontrolle 2022-2023; dokumentiert seit April 2024 UAE / IP-Projekt; formeller Wechsel des Geschäftsführers unter Beibehaltung der tatsächlichen operativen Rolle; Project Estate / Innovexa im Sommer; dann die Kollision dieser Architektur mit der Governance-Krise der MIF Ende August-September. Diese Linien können sich gegenseitig verstärken, sollten aber nicht zu einer vorbewiesenen Verschwörung verschmelzen.</w:t>
      </w:r>
      <w:r>
        <w:t/>
      </w:r>
    </w:p>
    <w:p w14:paraId="55CF814B" w14:textId="77777777" w:rsidR="00D67E55" w:rsidRDefault="00F266ED">
      <w:pPr>
        <w:pStyle w:val="NoIndent"/>
        <w:keepNext/>
        <w:keepLines/>
        <w:rPr>
          <w:rFonts w:hint="eastAsia"/>
        </w:rPr>
      </w:pPr>
      <w:r>
        <w:rPr>
          <w:rFonts w:ascii="Arial" w:hAnsi="Arial"/>
          <w:sz w:val="20"/>
        </w:rPr>
        <w:t>Restrukturierung / M&amp;A → VAE + IP-Konsolidierung → Kontrollstreit MIF verstärken sich gegenseitig Risiken und Misstrauen → Legalisierung → M&amp;A 2025 → neue Kontrolle</w:t>
      </w:r>
      <w:r>
        <w:rPr>
          <w:rFonts w:ascii="Arial" w:hAnsi="Arial"/>
          <w:sz w:val="20"/>
        </w:rPr>
        <w:br/>
        <w:t/>
      </w:r>
      <w:r>
        <w:rPr>
          <w:rFonts w:ascii="Arial" w:hAnsi="Arial"/>
          <w:sz w:val="20"/>
        </w:rPr>
        <w:br/>
        <w:t/>
      </w:r>
    </w:p>
    <w:p w14:paraId="149FF24A" w14:textId="77777777" w:rsidR="00D67E55" w:rsidRDefault="00F266ED">
      <w:pPr>
        <w:pStyle w:val="SmallNote"/>
        <w:rPr>
          <w:rFonts w:hint="eastAsia"/>
        </w:rPr>
      </w:pPr>
      <w:r>
        <w:rPr>
          <w:rFonts w:ascii="Arial" w:hAnsi="Arial"/>
          <w:sz w:val="20"/>
        </w:rPr>
        <w:t>Dieses Schema ist ein analytisches Modell, keine Aussage eines einzigen, vorab vereinbarten Plans für alle Teilnehmer.</w:t>
      </w:r>
    </w:p>
    <w:p w14:paraId="571EC4C4" w14:textId="77777777" w:rsidR="00D67E55" w:rsidRDefault="00F266ED">
      <w:pPr>
        <w:pStyle w:val="21"/>
      </w:pPr>
      <w:r>
        <w:rPr>
          <w:rFonts w:ascii="Arial" w:hAnsi="Arial"/>
          <w:sz w:val="20"/>
        </w:rPr>
        <w:t>6. Drei Ebenen von Befugnissen, die nicht vermischt werden dürfen</w:t>
      </w:r>
    </w:p>
    <w:tbl>
      <w:tblPr>
        <w:tblStyle w:val="aff0"/>
        <w:tblW w:w="0" w:type="auto"/>
        <w:jc w:val="center"/>
        <w:tblLayout w:type="fixed"/>
        <w:tblLook w:val="04A0" w:firstRow="1" w:lastRow="0" w:firstColumn="1" w:lastColumn="0" w:noHBand="0" w:noVBand="1"/>
      </w:tblPr>
      <w:tblGrid>
        <w:gridCol w:w="2016"/>
        <w:gridCol w:w="4363"/>
      </w:tblGrid>
      <w:tr w:rsidR="00D67E55" w14:paraId="50CB3DCD" w14:textId="77777777">
        <w:trPr>
          <w:cantSplit/>
          <w:jc w:val="center"/>
          <w:tblHeader/>
        </w:trPr>
        <w:tc>
          <w:tcPr>
            <w:tcW w:w="2016" w:type="dxa"/>
            <w:shd w:val="clear" w:color="auto" w:fill="EAF0F7"/>
            <w:tcMar>
              <w:top w:w="60" w:type="dxa"/>
              <w:left w:w="80" w:type="dxa"/>
              <w:bottom w:w="60" w:type="dxa"/>
              <w:right w:w="80" w:type="dxa"/>
            </w:tcMar>
          </w:tcPr>
          <w:p w14:paraId="526F82C5" w14:textId="77777777" w:rsidR="00D67E55" w:rsidRDefault="00F266ED">
            <w:pPr>
              <w:keepNext/>
              <w:jc w:val="left"/>
            </w:pPr>
            <w:r>
              <w:rPr>
                <w:b/>
                <w:sz w:val="16"/>
              </w:rPr>
              <w:t>Ebene.</w:t>
            </w:r>
          </w:p>
        </w:tc>
        <w:tc>
          <w:tcPr>
            <w:tcW w:w="4363" w:type="dxa"/>
            <w:shd w:val="clear" w:color="auto" w:fill="EAF0F7"/>
            <w:tcMar>
              <w:top w:w="60" w:type="dxa"/>
              <w:left w:w="80" w:type="dxa"/>
              <w:bottom w:w="60" w:type="dxa"/>
              <w:right w:w="80" w:type="dxa"/>
            </w:tcMar>
          </w:tcPr>
          <w:p w14:paraId="1AF8AB2B" w14:textId="77777777" w:rsidR="00D67E55" w:rsidRDefault="00F266ED">
            <w:pPr>
              <w:keepNext/>
              <w:jc w:val="left"/>
            </w:pPr>
            <w:r>
              <w:rPr>
                <w:b/>
                <w:sz w:val="16"/>
              </w:rPr>
              <w:t>Frage und Beweismittel</w:t>
            </w:r>
          </w:p>
        </w:tc>
      </w:tr>
      <w:tr w:rsidR="00D67E55" w14:paraId="6EE9C70E" w14:textId="77777777">
        <w:trPr>
          <w:cantSplit/>
          <w:jc w:val="center"/>
        </w:trPr>
        <w:tc>
          <w:tcPr>
            <w:tcW w:w="2016" w:type="dxa"/>
            <w:tcMar>
              <w:top w:w="60" w:type="dxa"/>
              <w:left w:w="80" w:type="dxa"/>
              <w:bottom w:w="60" w:type="dxa"/>
              <w:right w:w="80" w:type="dxa"/>
            </w:tcMar>
          </w:tcPr>
          <w:p w14:paraId="200ECF9F" w14:textId="77777777" w:rsidR="00D67E55" w:rsidRDefault="00F266ED">
            <w:pPr>
              <w:jc w:val="left"/>
            </w:pPr>
            <w:r>
              <w:rPr>
                <w:sz w:val="16"/>
              </w:rPr>
              <w:t>Vollzugsbehörde - das Recht auf Ausübung</w:t>
            </w:r>
          </w:p>
        </w:tc>
        <w:tc>
          <w:tcPr>
            <w:tcW w:w="4363" w:type="dxa"/>
            <w:tcMar>
              <w:top w:w="60" w:type="dxa"/>
              <w:left w:w="80" w:type="dxa"/>
              <w:bottom w:w="60" w:type="dxa"/>
              <w:right w:w="80" w:type="dxa"/>
            </w:tcMar>
          </w:tcPr>
          <w:p w14:paraId="733FBAAF" w14:textId="77777777" w:rsidR="00D67E55" w:rsidRDefault="00F266ED">
            <w:pPr>
              <w:jc w:val="left"/>
            </w:pPr>
            <w:r>
              <w:rPr>
                <w:sz w:val="16"/>
              </w:rPr>
              <w:t>Könnte Evgeny Gorokhov unterzeichnen oder im Namen des MIF handeln? wird durch Vollmacht, Position, Umfang der Autorität und Datum seiner Gültigkeit überprüft.</w:t>
            </w:r>
          </w:p>
        </w:tc>
      </w:tr>
      <w:tr w:rsidR="00D67E55" w14:paraId="2131D196" w14:textId="77777777">
        <w:trPr>
          <w:cantSplit/>
          <w:jc w:val="center"/>
        </w:trPr>
        <w:tc>
          <w:tcPr>
            <w:tcW w:w="2016" w:type="dxa"/>
            <w:tcMar>
              <w:top w:w="60" w:type="dxa"/>
              <w:left w:w="80" w:type="dxa"/>
              <w:bottom w:w="60" w:type="dxa"/>
              <w:right w:w="80" w:type="dxa"/>
            </w:tcMar>
          </w:tcPr>
          <w:p w14:paraId="19864B1D" w14:textId="77777777" w:rsidR="00D67E55" w:rsidRDefault="00F266ED">
            <w:pPr>
              <w:jc w:val="left"/>
            </w:pPr>
            <w:r>
              <w:rPr>
                <w:sz w:val="16"/>
              </w:rPr>
              <w:lastRenderedPageBreak/>
              <w:t>Entscheidungsbefugnis - das Recht, wirtschaftlich zu entscheiden</w:t>
            </w:r>
          </w:p>
        </w:tc>
        <w:tc>
          <w:tcPr>
            <w:tcW w:w="4363" w:type="dxa"/>
            <w:tcMar>
              <w:top w:w="60" w:type="dxa"/>
              <w:left w:w="80" w:type="dxa"/>
              <w:bottom w:w="60" w:type="dxa"/>
              <w:right w:w="80" w:type="dxa"/>
            </w:tcMar>
          </w:tcPr>
          <w:p w14:paraId="4FFC6815" w14:textId="77777777" w:rsidR="00D67E55" w:rsidRDefault="00F266ED">
            <w:pPr>
              <w:jc w:val="left"/>
            </w:pPr>
            <w:r>
              <w:rPr>
                <w:sz w:val="16"/>
              </w:rPr>
              <w:t>Wer hat die Richtung bestimmt: Übertrage ich IP, wo, unter welchen Bedingungen und in wessen Interesse?</w:t>
            </w:r>
          </w:p>
        </w:tc>
      </w:tr>
      <w:tr w:rsidR="00D67E55" w14:paraId="25222C52" w14:textId="77777777">
        <w:trPr>
          <w:cantSplit/>
          <w:jc w:val="center"/>
        </w:trPr>
        <w:tc>
          <w:tcPr>
            <w:tcW w:w="2016" w:type="dxa"/>
            <w:tcMar>
              <w:top w:w="60" w:type="dxa"/>
              <w:left w:w="80" w:type="dxa"/>
              <w:bottom w:w="60" w:type="dxa"/>
              <w:right w:w="80" w:type="dxa"/>
            </w:tcMar>
          </w:tcPr>
          <w:p w14:paraId="0F4226CF" w14:textId="77777777" w:rsidR="00D67E55" w:rsidRDefault="00F266ED">
            <w:pPr>
              <w:jc w:val="left"/>
            </w:pPr>
            <w:r>
              <w:rPr>
                <w:sz w:val="16"/>
              </w:rPr>
              <w:t>Corporate Approval – Legal Approval</w:t>
            </w:r>
          </w:p>
        </w:tc>
        <w:tc>
          <w:tcPr>
            <w:tcW w:w="4363" w:type="dxa"/>
            <w:tcMar>
              <w:top w:w="60" w:type="dxa"/>
              <w:left w:w="80" w:type="dxa"/>
              <w:bottom w:w="60" w:type="dxa"/>
              <w:right w:w="80" w:type="dxa"/>
            </w:tcMar>
          </w:tcPr>
          <w:p w14:paraId="77D79954" w14:textId="77777777" w:rsidR="00D67E55" w:rsidRDefault="00F266ED">
            <w:pPr>
              <w:jc w:val="left"/>
            </w:pPr>
            <w:r>
              <w:rPr>
                <w:sz w:val="16"/>
              </w:rPr>
              <w:t>Welche Körperschaft Megainpharm musste eine bestimmte Transaktion genehmigen und wurde sie durchgeführt? ist eine separate Ausgabe des österreichischen Gesellschaftsrechts und der Charta.</w:t>
            </w:r>
          </w:p>
        </w:tc>
      </w:tr>
    </w:tbl>
    <w:p w14:paraId="2B0B028F" w14:textId="77777777" w:rsidR="00D67E55" w:rsidRDefault="00D67E55"/>
    <w:p w14:paraId="606DE756" w14:textId="77777777" w:rsidR="00D67E55" w:rsidRDefault="00F266ED">
      <w:r>
        <w:t>Der gefährlichste Fehler für das Familiengedächtnis besteht darin, die Unterschrift von Evgeny Gorokhov in einen Beweis für alle drei Ebenen auf einmal zu verwandeln, ein ebenso gefährlicher Fehler: Die allgemeine Zustimmung der Eigentümer ersetzt nicht die formelle Zustimmung der Unternehmen, wenn das Gesetz oder die Satzung es erfordern.</w:t>
      </w:r>
    </w:p>
    <w:p w14:paraId="7350C1B4" w14:textId="77777777" w:rsidR="00D67E55" w:rsidRDefault="00F266ED">
      <w:pPr>
        <w:pStyle w:val="21"/>
        <w:pageBreakBefore/>
      </w:pPr>
      <w:r>
        <w:rPr>
          <w:rFonts w:ascii="Arial" w:hAnsi="Arial"/>
          <w:sz w:val="20"/>
        </w:rPr>
        <w:lastRenderedPageBreak/>
        <w:t>7. Konkurrierende Erklärungen und was sie widerlegen könnte</w:t>
      </w:r>
    </w:p>
    <w:tbl>
      <w:tblPr>
        <w:tblStyle w:val="aff0"/>
        <w:tblW w:w="0" w:type="auto"/>
        <w:jc w:val="center"/>
        <w:tblLayout w:type="fixed"/>
        <w:tblLook w:val="04A0" w:firstRow="1" w:lastRow="0" w:firstColumn="1" w:lastColumn="0" w:noHBand="0" w:noVBand="1"/>
      </w:tblPr>
      <w:tblGrid>
        <w:gridCol w:w="2088"/>
        <w:gridCol w:w="4291"/>
      </w:tblGrid>
      <w:tr w:rsidR="00D67E55" w14:paraId="0753116F" w14:textId="77777777">
        <w:trPr>
          <w:cantSplit/>
          <w:jc w:val="center"/>
          <w:tblHeader/>
        </w:trPr>
        <w:tc>
          <w:tcPr>
            <w:tcW w:w="2088" w:type="dxa"/>
            <w:shd w:val="clear" w:color="auto" w:fill="EAF0F7"/>
            <w:tcMar>
              <w:top w:w="60" w:type="dxa"/>
              <w:left w:w="80" w:type="dxa"/>
              <w:bottom w:w="60" w:type="dxa"/>
              <w:right w:w="80" w:type="dxa"/>
            </w:tcMar>
          </w:tcPr>
          <w:p w14:paraId="7C241311" w14:textId="77777777" w:rsidR="00D67E55" w:rsidRDefault="00F266ED">
            <w:pPr>
              <w:keepNext/>
              <w:jc w:val="left"/>
            </w:pPr>
            <w:r>
              <w:rPr>
                <w:b/>
                <w:sz w:val="16"/>
              </w:rPr>
              <w:t>Die Hypothese</w:t>
            </w:r>
          </w:p>
        </w:tc>
        <w:tc>
          <w:tcPr>
            <w:tcW w:w="4291" w:type="dxa"/>
            <w:shd w:val="clear" w:color="auto" w:fill="EAF0F7"/>
            <w:tcMar>
              <w:top w:w="60" w:type="dxa"/>
              <w:left w:w="80" w:type="dxa"/>
              <w:bottom w:w="60" w:type="dxa"/>
              <w:right w:w="80" w:type="dxa"/>
            </w:tcMar>
          </w:tcPr>
          <w:p w14:paraId="0EFC7CF9" w14:textId="77777777" w:rsidR="00D67E55" w:rsidRDefault="00F266ED">
            <w:pPr>
              <w:keepNext/>
              <w:jc w:val="left"/>
            </w:pPr>
            <w:r>
              <w:rPr>
                <w:b/>
                <w:sz w:val="16"/>
              </w:rPr>
              <w:t>Laufende Bewertung</w:t>
            </w:r>
          </w:p>
        </w:tc>
      </w:tr>
      <w:tr w:rsidR="00D67E55" w14:paraId="77328752" w14:textId="77777777">
        <w:trPr>
          <w:cantSplit/>
          <w:jc w:val="center"/>
        </w:trPr>
        <w:tc>
          <w:tcPr>
            <w:tcW w:w="2088" w:type="dxa"/>
            <w:tcMar>
              <w:top w:w="60" w:type="dxa"/>
              <w:left w:w="80" w:type="dxa"/>
              <w:bottom w:w="60" w:type="dxa"/>
              <w:right w:w="80" w:type="dxa"/>
            </w:tcMar>
          </w:tcPr>
          <w:p w14:paraId="18D092EA" w14:textId="77777777" w:rsidR="00D67E55" w:rsidRDefault="00F266ED">
            <w:pPr>
              <w:jc w:val="left"/>
            </w:pPr>
            <w:r>
              <w:rPr>
                <w:sz w:val="16"/>
              </w:rPr>
              <w:t>H1: Ordentliche Umstrukturierung/M&amp;A</w:t>
            </w:r>
          </w:p>
        </w:tc>
        <w:tc>
          <w:tcPr>
            <w:tcW w:w="4291" w:type="dxa"/>
            <w:tcMar>
              <w:top w:w="60" w:type="dxa"/>
              <w:left w:w="80" w:type="dxa"/>
              <w:bottom w:w="60" w:type="dxa"/>
              <w:right w:w="80" w:type="dxa"/>
            </w:tcMar>
          </w:tcPr>
          <w:p w14:paraId="14A0C858" w14:textId="77777777" w:rsidR="00D67E55" w:rsidRDefault="00F266ED">
            <w:pPr>
              <w:jc w:val="left"/>
            </w:pPr>
            <w:r>
              <w:rPr>
                <w:sz w:val="16"/>
              </w:rPr>
              <w:t>Stark unterstützt werden Project Estate, Roadmap, Risk Matrix, UAE Setup und Term Sheet.</w:t>
            </w:r>
          </w:p>
        </w:tc>
      </w:tr>
      <w:tr w:rsidR="00D67E55" w14:paraId="38AEA98C" w14:textId="77777777">
        <w:trPr>
          <w:cantSplit/>
          <w:jc w:val="center"/>
        </w:trPr>
        <w:tc>
          <w:tcPr>
            <w:tcW w:w="2088" w:type="dxa"/>
            <w:tcMar>
              <w:top w:w="60" w:type="dxa"/>
              <w:left w:w="80" w:type="dxa"/>
              <w:bottom w:w="60" w:type="dxa"/>
              <w:right w:w="80" w:type="dxa"/>
            </w:tcMar>
          </w:tcPr>
          <w:p w14:paraId="687E4D32" w14:textId="77777777" w:rsidR="00D67E55" w:rsidRDefault="00F266ED">
            <w:pPr>
              <w:jc w:val="left"/>
            </w:pPr>
            <w:r>
              <w:rPr>
                <w:sz w:val="16"/>
              </w:rPr>
              <w:t>Schutzring-Fencing IP aufgrund von Governance-Risiken</w:t>
            </w:r>
          </w:p>
        </w:tc>
        <w:tc>
          <w:tcPr>
            <w:tcW w:w="4291" w:type="dxa"/>
            <w:tcMar>
              <w:top w:w="60" w:type="dxa"/>
              <w:left w:w="80" w:type="dxa"/>
              <w:bottom w:w="60" w:type="dxa"/>
              <w:right w:w="80" w:type="dxa"/>
            </w:tcMar>
          </w:tcPr>
          <w:p w14:paraId="50647378" w14:textId="77777777" w:rsidR="00D67E55" w:rsidRDefault="00F266ED">
            <w:pPr>
              <w:jc w:val="left"/>
            </w:pPr>
            <w:r>
              <w:rPr>
                <w:sz w:val="16"/>
              </w:rPr>
              <w:t>Der Zufall Ende August erklärt sich gut, aber die endgültige Schlussfolgerung erfordert zeitgenössische Dokumente, die die IP-Beschleunigung direkt mit der Gefahr des Verlusts der MIF-Kontrolle verbinden.</w:t>
            </w:r>
          </w:p>
        </w:tc>
      </w:tr>
      <w:tr w:rsidR="00D67E55" w14:paraId="4074D541" w14:textId="77777777">
        <w:trPr>
          <w:cantSplit/>
          <w:jc w:val="center"/>
        </w:trPr>
        <w:tc>
          <w:tcPr>
            <w:tcW w:w="2088" w:type="dxa"/>
            <w:tcMar>
              <w:top w:w="60" w:type="dxa"/>
              <w:left w:w="80" w:type="dxa"/>
              <w:bottom w:w="60" w:type="dxa"/>
              <w:right w:w="80" w:type="dxa"/>
            </w:tcMar>
          </w:tcPr>
          <w:p w14:paraId="1FAB295E" w14:textId="77777777" w:rsidR="00D67E55" w:rsidRDefault="00F266ED">
            <w:pPr>
              <w:jc w:val="left"/>
            </w:pPr>
            <w:r>
              <w:rPr>
                <w:sz w:val="16"/>
              </w:rPr>
              <w:t>Evgeny Gorokhov im Alleingang abgeleitete IP für den persönlichen Gebrauch</w:t>
            </w:r>
          </w:p>
        </w:tc>
        <w:tc>
          <w:tcPr>
            <w:tcW w:w="4291" w:type="dxa"/>
            <w:tcMar>
              <w:top w:w="60" w:type="dxa"/>
              <w:left w:w="80" w:type="dxa"/>
              <w:bottom w:w="60" w:type="dxa"/>
              <w:right w:w="80" w:type="dxa"/>
            </w:tcMar>
          </w:tcPr>
          <w:p w14:paraId="045EB5E5" w14:textId="77777777" w:rsidR="00D67E55" w:rsidRDefault="00F266ED">
            <w:pPr>
              <w:jc w:val="left"/>
            </w:pPr>
            <w:r>
              <w:rPr>
                <w:sz w:val="16"/>
              </w:rPr>
              <w:t>Als vollständige Erklärung, die ursprüngliche 08.07 Anfrage, Berater / Sidorow Beteiligung und vertragliche Infrastruktur bleiben schlecht ausgerichtet mit Project Estate, aber ASG Wien erste Instanz hat ungünstige Schlussfolgerungen über Wissen und Autorität genommen; Daher hat die formelle PoA / Genehmigungslinie jetzt ein besonders hohes Risiko.</w:t>
            </w:r>
          </w:p>
        </w:tc>
      </w:tr>
      <w:tr w:rsidR="00D67E55" w14:paraId="70D4DA1D" w14:textId="77777777">
        <w:trPr>
          <w:cantSplit/>
          <w:jc w:val="center"/>
        </w:trPr>
        <w:tc>
          <w:tcPr>
            <w:tcW w:w="2088" w:type="dxa"/>
            <w:tcMar>
              <w:top w:w="60" w:type="dxa"/>
              <w:left w:w="80" w:type="dxa"/>
              <w:bottom w:w="60" w:type="dxa"/>
              <w:right w:w="80" w:type="dxa"/>
            </w:tcMar>
          </w:tcPr>
          <w:p w14:paraId="5D25E7E4" w14:textId="77777777" w:rsidR="00D67E55" w:rsidRDefault="00F266ED">
            <w:pPr>
              <w:jc w:val="left"/>
            </w:pPr>
            <w:r>
              <w:rPr>
                <w:sz w:val="16"/>
              </w:rPr>
              <w:t>H4.GD hat die Umverteilung der Kontrolle vorab arrangiert</w:t>
            </w:r>
          </w:p>
        </w:tc>
        <w:tc>
          <w:tcPr>
            <w:tcW w:w="4291" w:type="dxa"/>
            <w:tcMar>
              <w:top w:w="60" w:type="dxa"/>
              <w:left w:w="80" w:type="dxa"/>
              <w:bottom w:w="60" w:type="dxa"/>
              <w:right w:w="80" w:type="dxa"/>
            </w:tcMar>
          </w:tcPr>
          <w:p w14:paraId="123E0866" w14:textId="77777777" w:rsidR="00D67E55" w:rsidRDefault="00F266ED">
            <w:pPr>
              <w:jc w:val="left"/>
            </w:pPr>
            <w:r>
              <w:rPr>
                <w:sz w:val="16"/>
              </w:rPr>
              <w:t>Es gibt wiederkehrende Governance- / Finanzepisoden, aber es wurden keine vollständige Befehlskette GD → Andrey Gorokhov / Anton und eine unabhängige Bestätigung von GD → Velichko gefunden.</w:t>
            </w:r>
          </w:p>
        </w:tc>
      </w:tr>
      <w:tr w:rsidR="00D67E55" w14:paraId="4E8B45F1" w14:textId="77777777">
        <w:trPr>
          <w:cantSplit/>
          <w:jc w:val="center"/>
        </w:trPr>
        <w:tc>
          <w:tcPr>
            <w:tcW w:w="2088" w:type="dxa"/>
            <w:tcMar>
              <w:top w:w="60" w:type="dxa"/>
              <w:left w:w="80" w:type="dxa"/>
              <w:bottom w:w="60" w:type="dxa"/>
              <w:right w:w="80" w:type="dxa"/>
            </w:tcMar>
          </w:tcPr>
          <w:p w14:paraId="30C0790E" w14:textId="77777777" w:rsidR="00D67E55" w:rsidRDefault="00F266ED">
            <w:pPr>
              <w:jc w:val="left"/>
            </w:pPr>
            <w:r>
              <w:rPr>
                <w:sz w:val="16"/>
              </w:rPr>
              <w:t>H5.Pharmstandard steckte bereits 2024 hinter den Ereignissen</w:t>
            </w:r>
          </w:p>
        </w:tc>
        <w:tc>
          <w:tcPr>
            <w:tcW w:w="4291" w:type="dxa"/>
            <w:tcMar>
              <w:top w:w="60" w:type="dxa"/>
              <w:left w:w="80" w:type="dxa"/>
              <w:bottom w:w="60" w:type="dxa"/>
              <w:right w:w="80" w:type="dxa"/>
            </w:tcMar>
          </w:tcPr>
          <w:p w14:paraId="62F0E4ED" w14:textId="77777777" w:rsidR="00D67E55" w:rsidRDefault="00F266ED">
            <w:pPr>
              <w:jc w:val="left"/>
            </w:pPr>
            <w:r>
              <w:rPr>
                <w:sz w:val="16"/>
              </w:rPr>
              <w:t>Das Array ist unbestätigt: Die Käuferkontur ist dokumentiert, um 2025 sichtbar zu werden.</w:t>
            </w:r>
          </w:p>
        </w:tc>
      </w:tr>
    </w:tbl>
    <w:p w14:paraId="50071354" w14:textId="77777777" w:rsidR="00D67E55" w:rsidRDefault="00D67E55"/>
    <w:p w14:paraId="3A7D631E" w14:textId="77777777" w:rsidR="00D67E55" w:rsidRDefault="00F266ED">
      <w:pPr>
        <w:pStyle w:val="21"/>
      </w:pPr>
      <w:r>
        <w:rPr>
          <w:rFonts w:ascii="Arial" w:hAnsi="Arial"/>
          <w:sz w:val="20"/>
        </w:rPr>
        <w:t>8. Was sich sicher sagen lässt und was nicht zur Legende werden sollte</w:t>
      </w:r>
    </w:p>
    <w:p w14:paraId="77505B6C" w14:textId="77777777" w:rsidR="00D67E55" w:rsidRDefault="00F266ED">
      <w:pPr>
        <w:ind w:left="259" w:hanging="173"/>
      </w:pPr>
      <w:r>
        <w:t>UAE / IP-Architektur dokumentiert spätestens am 10.04.2024, und Project Estate Juli-August entwickelte die bestehende Richtung.</w:t>
      </w:r>
    </w:p>
    <w:p w14:paraId="60D04328" w14:textId="77777777" w:rsidR="00D67E55" w:rsidRDefault="00F266ED">
      <w:r>
        <w:t>Im April stellte MIF die historischen Patentkosten wieder her; Evgeny Gorokhov wählte die Gesamtkostenmethode; Jahresabschlüsse zeigen kein Patent- / Markenportfolio als separates kapitalisiertes Asset.</w:t>
      </w:r>
    </w:p>
    <w:p w14:paraId="30AD385D" w14:textId="77777777" w:rsidR="00D67E55" w:rsidRDefault="00F266ED">
      <w:r>
        <w:t>Die Preisformel „Kosten bis Ende August + Lizenzgebühren 2023 + kleines Plus und die steuereffiziente Begründung der Vereinigten Arabischen Emirate sind eine spezifische Erklärung von Evgeny Gorokhov, die teilweise von den Komponenten unterstützt wird, aber ein genaues Abstimmungs- / Steuermemo wurde noch nicht gefunden.</w:t>
      </w:r>
      <w:r>
        <w:lastRenderedPageBreak/>
        <w:t/>
      </w:r>
    </w:p>
    <w:p w14:paraId="005811AB" w14:textId="77777777" w:rsidR="00D67E55" w:rsidRDefault="00F266ED">
      <w:r>
        <w:t>Man kann sagen, dass der formelle Wechsel des Geschäftsführers im Frühjahr 2024 die Arbeits- und tatsächliche operative Rolle von Evgeny Gorokhov nicht automatisch beendet hat; Dies wird von mehreren Gerichtszeugen bestätigt.</w:t>
      </w:r>
    </w:p>
    <w:p w14:paraId="4DAA8458" w14:textId="77777777" w:rsidR="00D67E55" w:rsidRDefault="00F266ED">
      <w:r>
        <w:t>TRACK F 2022-2023 bestätigt Evgeny Gorokhovs frühe Verifikationsarbeit am kommerziellen Block. Ohne Brückenbeweise kann man sagen, dass diese Untersuchung den Konflikt von 2024-2025 verursacht hat.</w:t>
      </w:r>
    </w:p>
    <w:p w14:paraId="21A3F8CB" w14:textId="77777777" w:rsidR="00D67E55" w:rsidRDefault="00F266ED">
      <w:pPr>
        <w:ind w:left="259" w:hanging="173"/>
      </w:pPr>
      <w:r>
        <w:t>Evgeny Gorokhov war ein aktiver Performer und einer der Architekten der internationalen / IP-Schaltung.</w:t>
      </w:r>
    </w:p>
    <w:p w14:paraId="2A8C36EC" w14:textId="77777777" w:rsidR="00D67E55" w:rsidRDefault="00F266ED">
      <w:pPr>
        <w:ind w:left="259" w:hanging="173"/>
      </w:pPr>
      <w:r>
        <w:t>Anton war im Frühjahr 2025 ein aktiver Verkäufer und Verhandlungsführer, und am 15. Mai entstand ein rechtlicher Interessenkonflikt.</w:t>
      </w:r>
    </w:p>
    <w:p w14:paraId="6023D7E5" w14:textId="77777777" w:rsidR="00D67E55" w:rsidRDefault="00F266ED">
      <w:pPr>
        <w:ind w:left="259" w:hanging="173"/>
      </w:pPr>
      <w:r>
        <w:t>GD hatte eine dokumentierte Rolle in Finanz- und Governance-Episoden; Das Ausmaß seiner Auswirkungen auf bestimmte Entscheidungen muss separat nachgewiesen werden.</w:t>
      </w:r>
    </w:p>
    <w:p w14:paraId="5A1E5610" w14:textId="77777777" w:rsidR="00D67E55" w:rsidRDefault="00F266ED">
      <w:pPr>
        <w:ind w:left="259" w:hanging="173"/>
      </w:pPr>
      <w:r>
        <w:t>Es ist unmöglich, ohne zusätzliche Beweise zu sagen: "68% gesetzlich genehmigte MIF-Innovexa", "GD kontrollierte alle", "GD-Velichko-Sitzung etabliert", "MIF gehörte direkt zu PST".</w:t>
      </w:r>
    </w:p>
    <w:p w14:paraId="58D896E7" w14:textId="77777777" w:rsidR="00D67E55" w:rsidRDefault="00F266ED">
      <w:pPr>
        <w:ind w:left="259" w:hanging="173"/>
      </w:pPr>
      <w:r>
        <w:t>Der Familienkonflikt von 2024, das M &amp; A von 2025 und die Maßnahmen des neuen Managements nach dem Abschluss als ein bewährtes Schema.</w:t>
      </w:r>
    </w:p>
    <w:p w14:paraId="0821F5C3" w14:textId="77777777" w:rsidR="00D67E55" w:rsidRDefault="00F266ED">
      <w:r>
        <w:t>Das vollständige Verfahrensexemplar des Vertrags 26.08 und der Ergänzung 27.09 wurde nun wiederhergestellt; der wieder eingezogene Vertragspreis ist der Vertragsbetrag, während die vorgeschlagene kommerzielle Version im Schreiben 04.09 die vorgeschlagene Laufzeit bleibt.</w:t>
      </w:r>
    </w:p>
    <w:p w14:paraId="19DDE527" w14:textId="77777777" w:rsidR="00D67E55" w:rsidRDefault="00F266ED">
      <w:r>
        <w:t>Sie können sagen, dass die ursprüngliche E-Mail 08.07 die frühe Existenz des breiten PoA-Entwurfs und die Bitte von Papadopoulos, ihn zu unterzeichnen, bestätigt; es kann nicht gesagt werden, dass dies an sich die Echtheit der Unterschrift auf der umstrittenen unterzeichneten Kopie beweist.</w:t>
      </w:r>
    </w:p>
    <w:p w14:paraId="70ACBC31" w14:textId="77777777" w:rsidR="00D67E55" w:rsidRDefault="00F266ED">
      <w:r>
        <w:t>• Es ist genau zu sagen: Das Nachtragsgesetz der ASG Wien Erster Instanz in einem Arbeitsstreit ist vom 13.04.2026 datiert; nach meiner Klarstellung wurde die Entscheidung erst am 18.08.2026 veröffentlicht. Ich bereite eine Beschwerde vor und beabsichtige, sie einzureichen; es handelt sich nicht um eine Behauptung, dass sie bereits eingereicht wurde. WKStA untersucht; die Strafschuld wird nicht durch das wirksame Urteil festgestellt.</w:t>
      </w:r>
    </w:p>
    <w:p w14:paraId="2DBC9864" w14:textId="77777777" w:rsidR="00D67E55" w:rsidRDefault="00F266ED">
      <w:pPr>
        <w:pStyle w:val="21"/>
      </w:pPr>
      <w:r>
        <w:rPr>
          <w:rFonts w:ascii="Arial" w:hAnsi="Arial"/>
          <w:sz w:val="20"/>
        </w:rPr>
        <w:t>9. Dokumente mit höchster Priorität</w:t>
      </w:r>
    </w:p>
    <w:tbl>
      <w:tblPr>
        <w:tblStyle w:val="aff0"/>
        <w:tblW w:w="0" w:type="auto"/>
        <w:jc w:val="center"/>
        <w:tblLayout w:type="fixed"/>
        <w:tblLook w:val="04A0" w:firstRow="1" w:lastRow="0" w:firstColumn="1" w:lastColumn="0" w:noHBand="0" w:noVBand="1"/>
      </w:tblPr>
      <w:tblGrid>
        <w:gridCol w:w="835"/>
        <w:gridCol w:w="5544"/>
      </w:tblGrid>
      <w:tr w:rsidR="00D67E55" w14:paraId="549BA831" w14:textId="77777777">
        <w:trPr>
          <w:cantSplit/>
          <w:jc w:val="center"/>
          <w:tblHeader/>
        </w:trPr>
        <w:tc>
          <w:tcPr>
            <w:tcW w:w="835" w:type="dxa"/>
            <w:shd w:val="clear" w:color="auto" w:fill="EAF0F7"/>
            <w:tcMar>
              <w:top w:w="60" w:type="dxa"/>
              <w:left w:w="80" w:type="dxa"/>
              <w:bottom w:w="60" w:type="dxa"/>
              <w:right w:w="80" w:type="dxa"/>
            </w:tcMar>
          </w:tcPr>
          <w:p w14:paraId="372F0015" w14:textId="77777777" w:rsidR="00D67E55" w:rsidRDefault="00F266ED">
            <w:pPr>
              <w:keepNext/>
              <w:jc w:val="left"/>
            </w:pPr>
            <w:r>
              <w:rPr>
                <w:b/>
                <w:sz w:val="16"/>
              </w:rPr>
              <w:t>Priorität</w:t>
            </w:r>
          </w:p>
        </w:tc>
        <w:tc>
          <w:tcPr>
            <w:tcW w:w="5544" w:type="dxa"/>
            <w:shd w:val="clear" w:color="auto" w:fill="EAF0F7"/>
            <w:tcMar>
              <w:top w:w="60" w:type="dxa"/>
              <w:left w:w="80" w:type="dxa"/>
              <w:bottom w:w="60" w:type="dxa"/>
              <w:right w:w="80" w:type="dxa"/>
            </w:tcMar>
          </w:tcPr>
          <w:p w14:paraId="2122F19C" w14:textId="77777777" w:rsidR="00D67E55" w:rsidRDefault="00F266ED">
            <w:pPr>
              <w:keepNext/>
              <w:jc w:val="left"/>
            </w:pPr>
            <w:r>
              <w:rPr>
                <w:b/>
                <w:sz w:val="16"/>
              </w:rPr>
              <w:t>Dokument</w:t>
            </w:r>
          </w:p>
        </w:tc>
      </w:tr>
      <w:tr w:rsidR="00D67E55" w14:paraId="6374847A" w14:textId="77777777">
        <w:trPr>
          <w:cantSplit/>
          <w:jc w:val="center"/>
        </w:trPr>
        <w:tc>
          <w:tcPr>
            <w:tcW w:w="835" w:type="dxa"/>
            <w:tcMar>
              <w:top w:w="60" w:type="dxa"/>
              <w:left w:w="80" w:type="dxa"/>
              <w:bottom w:w="60" w:type="dxa"/>
              <w:right w:w="80" w:type="dxa"/>
            </w:tcMar>
          </w:tcPr>
          <w:p w14:paraId="72903451" w14:textId="77777777" w:rsidR="00D67E55" w:rsidRDefault="00F266ED">
            <w:pPr>
              <w:jc w:val="left"/>
            </w:pPr>
            <w:r>
              <w:rPr>
                <w:sz w:val="16"/>
              </w:rPr>
              <w:t>P1</w:t>
            </w:r>
          </w:p>
        </w:tc>
        <w:tc>
          <w:tcPr>
            <w:tcW w:w="5544" w:type="dxa"/>
            <w:tcMar>
              <w:top w:w="60" w:type="dxa"/>
              <w:left w:w="80" w:type="dxa"/>
              <w:bottom w:w="60" w:type="dxa"/>
              <w:right w:w="80" w:type="dxa"/>
            </w:tcMar>
          </w:tcPr>
          <w:p w14:paraId="2134036F" w14:textId="77777777" w:rsidR="00D67E55" w:rsidRDefault="00F266ED">
            <w:pPr>
              <w:jc w:val="left"/>
            </w:pPr>
            <w:r>
              <w:rPr>
                <w:sz w:val="16"/>
              </w:rPr>
              <w:t>Forensische Authentifizierungsquelle E-Mail 08.07 + Empfänger / Anbieter Kopie.</w:t>
            </w:r>
          </w:p>
        </w:tc>
      </w:tr>
      <w:tr w:rsidR="00D67E55" w14:paraId="179D83AE" w14:textId="77777777">
        <w:trPr>
          <w:cantSplit/>
          <w:jc w:val="center"/>
        </w:trPr>
        <w:tc>
          <w:tcPr>
            <w:tcW w:w="835" w:type="dxa"/>
            <w:tcMar>
              <w:top w:w="60" w:type="dxa"/>
              <w:left w:w="80" w:type="dxa"/>
              <w:bottom w:w="60" w:type="dxa"/>
              <w:right w:w="80" w:type="dxa"/>
            </w:tcMar>
          </w:tcPr>
          <w:p w14:paraId="080B1D48" w14:textId="77777777" w:rsidR="00D67E55" w:rsidRDefault="00F266ED">
            <w:pPr>
              <w:jc w:val="left"/>
            </w:pPr>
            <w:r>
              <w:rPr>
                <w:sz w:val="16"/>
              </w:rPr>
              <w:t>P2</w:t>
            </w:r>
          </w:p>
        </w:tc>
        <w:tc>
          <w:tcPr>
            <w:tcW w:w="5544" w:type="dxa"/>
            <w:tcMar>
              <w:top w:w="60" w:type="dxa"/>
              <w:left w:w="80" w:type="dxa"/>
              <w:bottom w:w="60" w:type="dxa"/>
              <w:right w:w="80" w:type="dxa"/>
            </w:tcMar>
          </w:tcPr>
          <w:p w14:paraId="2D6F0848" w14:textId="77777777" w:rsidR="00D67E55" w:rsidRDefault="00F266ED">
            <w:pPr>
              <w:jc w:val="left"/>
            </w:pPr>
            <w:r>
              <w:rPr>
                <w:sz w:val="16"/>
              </w:rPr>
              <w:t>Original/native signierte PoA 08.07 + Unterschrift/Provenienzprüfung.</w:t>
            </w:r>
          </w:p>
        </w:tc>
      </w:tr>
      <w:tr w:rsidR="00D67E55" w14:paraId="4AB66913" w14:textId="77777777">
        <w:trPr>
          <w:cantSplit/>
          <w:jc w:val="center"/>
        </w:trPr>
        <w:tc>
          <w:tcPr>
            <w:tcW w:w="835" w:type="dxa"/>
            <w:tcMar>
              <w:top w:w="60" w:type="dxa"/>
              <w:left w:w="80" w:type="dxa"/>
              <w:bottom w:w="60" w:type="dxa"/>
              <w:right w:w="80" w:type="dxa"/>
            </w:tcMar>
          </w:tcPr>
          <w:p w14:paraId="10D175AB" w14:textId="77777777" w:rsidR="00D67E55" w:rsidRDefault="00F266ED">
            <w:pPr>
              <w:jc w:val="left"/>
            </w:pPr>
            <w:r>
              <w:rPr>
                <w:sz w:val="16"/>
              </w:rPr>
              <w:t>P3</w:t>
            </w:r>
          </w:p>
        </w:tc>
        <w:tc>
          <w:tcPr>
            <w:tcW w:w="5544" w:type="dxa"/>
            <w:tcMar>
              <w:top w:w="60" w:type="dxa"/>
              <w:left w:w="80" w:type="dxa"/>
              <w:bottom w:w="60" w:type="dxa"/>
              <w:right w:w="80" w:type="dxa"/>
            </w:tcMar>
          </w:tcPr>
          <w:p w14:paraId="4E9BD139" w14:textId="77777777" w:rsidR="00D67E55" w:rsidRDefault="00F266ED">
            <w:pPr>
              <w:jc w:val="left"/>
            </w:pPr>
            <w:r>
              <w:rPr>
                <w:sz w:val="16"/>
              </w:rPr>
              <w:t>Berufungsvorbereitung für die ASG Wien und weitere Berufungshandlungen.</w:t>
            </w:r>
          </w:p>
        </w:tc>
      </w:tr>
      <w:tr w:rsidR="00D67E55" w14:paraId="0D709302" w14:textId="77777777">
        <w:trPr>
          <w:cantSplit/>
          <w:jc w:val="center"/>
        </w:trPr>
        <w:tc>
          <w:tcPr>
            <w:tcW w:w="835" w:type="dxa"/>
            <w:tcMar>
              <w:top w:w="60" w:type="dxa"/>
              <w:left w:w="80" w:type="dxa"/>
              <w:bottom w:w="60" w:type="dxa"/>
              <w:right w:w="80" w:type="dxa"/>
            </w:tcMar>
          </w:tcPr>
          <w:p w14:paraId="52E9D0EC" w14:textId="77777777" w:rsidR="00D67E55" w:rsidRDefault="00F266ED">
            <w:pPr>
              <w:jc w:val="left"/>
            </w:pPr>
            <w:r>
              <w:rPr>
                <w:sz w:val="16"/>
              </w:rPr>
              <w:t>P4</w:t>
            </w:r>
          </w:p>
        </w:tc>
        <w:tc>
          <w:tcPr>
            <w:tcW w:w="5544" w:type="dxa"/>
            <w:tcMar>
              <w:top w:w="60" w:type="dxa"/>
              <w:left w:w="80" w:type="dxa"/>
              <w:bottom w:w="60" w:type="dxa"/>
              <w:right w:w="80" w:type="dxa"/>
            </w:tcMar>
          </w:tcPr>
          <w:p w14:paraId="6F00D176" w14:textId="77777777" w:rsidR="00D67E55" w:rsidRDefault="00F266ED">
            <w:pPr>
              <w:jc w:val="left"/>
            </w:pPr>
            <w:r>
              <w:rPr>
                <w:sz w:val="16"/>
              </w:rPr>
              <w:t>Aktualisierte WKStA-Datei nach Bestellung 12.08.2026, einschließlich 19.09 E-Mail-Akquisition und ergänzenden Zeugeninterviews.</w:t>
            </w:r>
          </w:p>
        </w:tc>
      </w:tr>
      <w:tr w:rsidR="00D67E55" w14:paraId="5B9F4332" w14:textId="77777777">
        <w:trPr>
          <w:cantSplit/>
          <w:jc w:val="center"/>
        </w:trPr>
        <w:tc>
          <w:tcPr>
            <w:tcW w:w="835" w:type="dxa"/>
            <w:tcMar>
              <w:top w:w="60" w:type="dxa"/>
              <w:left w:w="80" w:type="dxa"/>
              <w:bottom w:w="60" w:type="dxa"/>
              <w:right w:w="80" w:type="dxa"/>
            </w:tcMar>
          </w:tcPr>
          <w:p w14:paraId="32C46003" w14:textId="77777777" w:rsidR="00D67E55" w:rsidRDefault="00F266ED">
            <w:pPr>
              <w:jc w:val="left"/>
            </w:pPr>
            <w:r>
              <w:rPr>
                <w:sz w:val="16"/>
              </w:rPr>
              <w:t>P5</w:t>
            </w:r>
          </w:p>
        </w:tc>
        <w:tc>
          <w:tcPr>
            <w:tcW w:w="5544" w:type="dxa"/>
            <w:tcMar>
              <w:top w:w="60" w:type="dxa"/>
              <w:left w:w="80" w:type="dxa"/>
              <w:bottom w:w="60" w:type="dxa"/>
              <w:right w:w="80" w:type="dxa"/>
            </w:tcMar>
          </w:tcPr>
          <w:p w14:paraId="32A413FB" w14:textId="77777777" w:rsidR="00D67E55" w:rsidRDefault="00F266ED">
            <w:pPr>
              <w:jc w:val="left"/>
            </w:pPr>
            <w:r>
              <w:rPr>
                <w:sz w:val="16"/>
              </w:rPr>
              <w:t>Aufzeichnung der Erinnerung von GE an das mündliche Gespräch am 17.08.2024 und Überprüfung der nachfolgenden Mitteilungen; es gibt kein separates GA-schriftliches Dokument von diesem Datum.</w:t>
            </w:r>
          </w:p>
        </w:tc>
      </w:tr>
      <w:tr w:rsidR="00D67E55" w14:paraId="4BF89920" w14:textId="77777777">
        <w:trPr>
          <w:cantSplit/>
          <w:jc w:val="center"/>
        </w:trPr>
        <w:tc>
          <w:tcPr>
            <w:tcW w:w="835" w:type="dxa"/>
            <w:tcMar>
              <w:top w:w="60" w:type="dxa"/>
              <w:left w:w="80" w:type="dxa"/>
              <w:bottom w:w="60" w:type="dxa"/>
              <w:right w:w="80" w:type="dxa"/>
            </w:tcMar>
          </w:tcPr>
          <w:p w14:paraId="07E1CC27" w14:textId="77777777" w:rsidR="00D67E55" w:rsidRDefault="00F266ED">
            <w:pPr>
              <w:jc w:val="left"/>
            </w:pPr>
            <w:r>
              <w:rPr>
                <w:sz w:val="16"/>
              </w:rPr>
              <w:t>P6</w:t>
            </w:r>
          </w:p>
        </w:tc>
        <w:tc>
          <w:tcPr>
            <w:tcW w:w="5544" w:type="dxa"/>
            <w:tcMar>
              <w:top w:w="60" w:type="dxa"/>
              <w:left w:w="80" w:type="dxa"/>
              <w:bottom w:w="60" w:type="dxa"/>
              <w:right w:w="80" w:type="dxa"/>
            </w:tcMar>
          </w:tcPr>
          <w:p w14:paraId="7C61B8B9" w14:textId="77777777" w:rsidR="00D67E55" w:rsidRDefault="00F266ED">
            <w:pPr>
              <w:jc w:val="left"/>
            </w:pPr>
            <w:r>
              <w:rPr>
                <w:sz w:val="16"/>
              </w:rPr>
              <w:t>Unternehmensvorsätze / Minuten / Megainpharm Anweisungen zu IP und spezifischer Transaktion.</w:t>
            </w:r>
          </w:p>
        </w:tc>
      </w:tr>
      <w:tr w:rsidR="00D67E55" w14:paraId="796E3350" w14:textId="77777777">
        <w:trPr>
          <w:cantSplit/>
          <w:jc w:val="center"/>
        </w:trPr>
        <w:tc>
          <w:tcPr>
            <w:tcW w:w="835" w:type="dxa"/>
            <w:tcMar>
              <w:top w:w="60" w:type="dxa"/>
              <w:left w:w="80" w:type="dxa"/>
              <w:bottom w:w="60" w:type="dxa"/>
              <w:right w:w="80" w:type="dxa"/>
            </w:tcMar>
          </w:tcPr>
          <w:p w14:paraId="1B174DA6" w14:textId="77777777" w:rsidR="00D67E55" w:rsidRDefault="00F266ED">
            <w:pPr>
              <w:jc w:val="left"/>
            </w:pPr>
            <w:r>
              <w:rPr>
                <w:sz w:val="16"/>
              </w:rPr>
              <w:t>P7</w:t>
            </w:r>
          </w:p>
        </w:tc>
        <w:tc>
          <w:tcPr>
            <w:tcW w:w="5544" w:type="dxa"/>
            <w:tcMar>
              <w:top w:w="60" w:type="dxa"/>
              <w:left w:w="80" w:type="dxa"/>
              <w:bottom w:w="60" w:type="dxa"/>
              <w:right w:w="80" w:type="dxa"/>
            </w:tcMar>
          </w:tcPr>
          <w:p w14:paraId="680A97CB" w14:textId="77777777" w:rsidR="00D67E55" w:rsidRDefault="00F266ED">
            <w:pPr>
              <w:jc w:val="left"/>
            </w:pPr>
            <w:r>
              <w:rPr>
                <w:sz w:val="16"/>
              </w:rPr>
              <w:t>Native / original 26.08 Vereinbarung + 27.09 Ergänzung und Unterschrift Herkunft.</w:t>
            </w:r>
          </w:p>
        </w:tc>
      </w:tr>
      <w:tr w:rsidR="00D67E55" w14:paraId="5AF16138" w14:textId="77777777">
        <w:trPr>
          <w:cantSplit/>
          <w:jc w:val="center"/>
        </w:trPr>
        <w:tc>
          <w:tcPr>
            <w:tcW w:w="835" w:type="dxa"/>
            <w:tcMar>
              <w:top w:w="60" w:type="dxa"/>
              <w:left w:w="80" w:type="dxa"/>
              <w:bottom w:w="60" w:type="dxa"/>
              <w:right w:w="80" w:type="dxa"/>
            </w:tcMar>
          </w:tcPr>
          <w:p w14:paraId="13B38BD6" w14:textId="77777777" w:rsidR="00D67E55" w:rsidRDefault="00F266ED">
            <w:pPr>
              <w:jc w:val="left"/>
            </w:pPr>
            <w:r>
              <w:rPr>
                <w:sz w:val="16"/>
              </w:rPr>
              <w:t>P8</w:t>
            </w:r>
          </w:p>
        </w:tc>
        <w:tc>
          <w:tcPr>
            <w:tcW w:w="5544" w:type="dxa"/>
            <w:tcMar>
              <w:top w:w="60" w:type="dxa"/>
              <w:left w:w="80" w:type="dxa"/>
              <w:bottom w:w="60" w:type="dxa"/>
              <w:right w:w="80" w:type="dxa"/>
            </w:tcMar>
          </w:tcPr>
          <w:p w14:paraId="6A084950" w14:textId="77777777" w:rsidR="00D67E55" w:rsidRDefault="00F266ED">
            <w:pPr>
              <w:jc w:val="left"/>
            </w:pPr>
            <w:r>
              <w:rPr>
                <w:sz w:val="16"/>
              </w:rPr>
              <w:t>Bewertung und Bank-/Zahlungspfad für den vertraglichen Betrag; Erläuterung der vorgeschlagenen kommerziellen Option.</w:t>
            </w:r>
          </w:p>
        </w:tc>
      </w:tr>
      <w:tr w:rsidR="00D67E55" w14:paraId="2A3FBD83" w14:textId="77777777">
        <w:trPr>
          <w:cantSplit/>
          <w:jc w:val="center"/>
        </w:trPr>
        <w:tc>
          <w:tcPr>
            <w:tcW w:w="835" w:type="dxa"/>
            <w:tcMar>
              <w:top w:w="60" w:type="dxa"/>
              <w:left w:w="80" w:type="dxa"/>
              <w:bottom w:w="60" w:type="dxa"/>
              <w:right w:w="80" w:type="dxa"/>
            </w:tcMar>
          </w:tcPr>
          <w:p w14:paraId="792B9568" w14:textId="77777777" w:rsidR="00D67E55" w:rsidRDefault="00F266ED">
            <w:pPr>
              <w:jc w:val="left"/>
            </w:pPr>
            <w:r>
              <w:rPr>
                <w:sz w:val="16"/>
              </w:rPr>
              <w:t>P9</w:t>
            </w:r>
          </w:p>
        </w:tc>
        <w:tc>
          <w:tcPr>
            <w:tcW w:w="5544" w:type="dxa"/>
            <w:tcMar>
              <w:top w:w="60" w:type="dxa"/>
              <w:left w:w="80" w:type="dxa"/>
              <w:bottom w:w="60" w:type="dxa"/>
              <w:right w:w="80" w:type="dxa"/>
            </w:tcMar>
          </w:tcPr>
          <w:p w14:paraId="180F9E7C" w14:textId="77777777" w:rsidR="00D67E55" w:rsidRDefault="00F266ED">
            <w:pPr>
              <w:jc w:val="left"/>
            </w:pPr>
            <w:r>
              <w:rPr>
                <w:sz w:val="16"/>
              </w:rPr>
              <w:t>Empfängerkopie von 18/19.09 E-Mail + genaue Anhänge; gezielte Zeugenklärung.</w:t>
            </w:r>
          </w:p>
        </w:tc>
      </w:tr>
      <w:tr w:rsidR="00D67E55" w14:paraId="1DD4FCC6" w14:textId="77777777">
        <w:trPr>
          <w:cantSplit/>
          <w:jc w:val="center"/>
        </w:trPr>
        <w:tc>
          <w:tcPr>
            <w:tcW w:w="835" w:type="dxa"/>
            <w:tcMar>
              <w:top w:w="60" w:type="dxa"/>
              <w:left w:w="80" w:type="dxa"/>
              <w:bottom w:w="60" w:type="dxa"/>
              <w:right w:w="80" w:type="dxa"/>
            </w:tcMar>
          </w:tcPr>
          <w:p w14:paraId="6A56027C" w14:textId="77777777" w:rsidR="00D67E55" w:rsidRDefault="00F266ED">
            <w:pPr>
              <w:jc w:val="left"/>
            </w:pPr>
            <w:r>
              <w:rPr>
                <w:sz w:val="16"/>
              </w:rPr>
              <w:t>P10</w:t>
            </w:r>
          </w:p>
        </w:tc>
        <w:tc>
          <w:tcPr>
            <w:tcW w:w="5544" w:type="dxa"/>
            <w:tcMar>
              <w:top w:w="60" w:type="dxa"/>
              <w:left w:w="80" w:type="dxa"/>
              <w:bottom w:w="60" w:type="dxa"/>
              <w:right w:w="80" w:type="dxa"/>
            </w:tcMar>
          </w:tcPr>
          <w:p w14:paraId="00AA3C39" w14:textId="77777777" w:rsidR="00D67E55" w:rsidRDefault="00F266ED">
            <w:pPr>
              <w:jc w:val="left"/>
            </w:pPr>
            <w:r>
              <w:rPr>
                <w:sz w:val="16"/>
              </w:rPr>
              <w:t>MIF/HIGOR/NMT-Eigentum/UBO/Kontrollkette und M&amp;A 2025 Abschlusspaket.</w:t>
            </w:r>
          </w:p>
        </w:tc>
      </w:tr>
      <w:tr w:rsidR="00D67E55" w14:paraId="27654E60" w14:textId="77777777">
        <w:trPr>
          <w:cantSplit/>
          <w:jc w:val="center"/>
        </w:trPr>
        <w:tc>
          <w:tcPr>
            <w:tcW w:w="835" w:type="dxa"/>
            <w:tcMar>
              <w:top w:w="60" w:type="dxa"/>
              <w:left w:w="80" w:type="dxa"/>
              <w:bottom w:w="60" w:type="dxa"/>
              <w:right w:w="80" w:type="dxa"/>
            </w:tcMar>
          </w:tcPr>
          <w:p w14:paraId="0EF1F5E6" w14:textId="77777777" w:rsidR="00D67E55" w:rsidRDefault="00F266ED">
            <w:pPr>
              <w:jc w:val="left"/>
            </w:pPr>
            <w:r>
              <w:rPr>
                <w:sz w:val="16"/>
              </w:rPr>
              <w:t>P11</w:t>
            </w:r>
          </w:p>
        </w:tc>
        <w:tc>
          <w:tcPr>
            <w:tcW w:w="5544" w:type="dxa"/>
            <w:tcMar>
              <w:top w:w="60" w:type="dxa"/>
              <w:left w:w="80" w:type="dxa"/>
              <w:bottom w:w="60" w:type="dxa"/>
              <w:right w:w="80" w:type="dxa"/>
            </w:tcMar>
          </w:tcPr>
          <w:p w14:paraId="73733FD9" w14:textId="77777777" w:rsidR="00D67E55" w:rsidRDefault="00F266ED">
            <w:pPr>
              <w:jc w:val="left"/>
            </w:pPr>
            <w:r>
              <w:rPr>
                <w:sz w:val="16"/>
              </w:rPr>
              <w:t>Ursprüngliche Abtretung von Andrey Gorokhov → GD + Zahlungs- / Unterschriftsverfolgung.</w:t>
            </w:r>
          </w:p>
        </w:tc>
      </w:tr>
      <w:tr w:rsidR="00D67E55" w14:paraId="7BAA9D50" w14:textId="77777777">
        <w:trPr>
          <w:cantSplit/>
          <w:jc w:val="center"/>
        </w:trPr>
        <w:tc>
          <w:tcPr>
            <w:tcW w:w="835" w:type="dxa"/>
            <w:tcMar>
              <w:top w:w="60" w:type="dxa"/>
              <w:left w:w="80" w:type="dxa"/>
              <w:bottom w:w="60" w:type="dxa"/>
              <w:right w:w="80" w:type="dxa"/>
            </w:tcMar>
          </w:tcPr>
          <w:p w14:paraId="747C6F58" w14:textId="77777777" w:rsidR="00D67E55" w:rsidRDefault="00F266ED">
            <w:pPr>
              <w:jc w:val="left"/>
            </w:pPr>
            <w:r>
              <w:rPr>
                <w:sz w:val="16"/>
              </w:rPr>
              <w:t>P12</w:t>
            </w:r>
          </w:p>
        </w:tc>
        <w:tc>
          <w:tcPr>
            <w:tcW w:w="5544" w:type="dxa"/>
            <w:tcMar>
              <w:top w:w="60" w:type="dxa"/>
              <w:left w:w="80" w:type="dxa"/>
              <w:bottom w:w="60" w:type="dxa"/>
              <w:right w:w="80" w:type="dxa"/>
            </w:tcMar>
          </w:tcPr>
          <w:p w14:paraId="64C88531" w14:textId="77777777" w:rsidR="00D67E55" w:rsidRDefault="00F266ED">
            <w:pPr>
              <w:jc w:val="left"/>
            </w:pPr>
            <w:r>
              <w:rPr>
                <w:sz w:val="16"/>
              </w:rPr>
              <w:t>Unabhängige Beweise für / gegen GD-Velichko Dubai Kanal, getrennt von nachgewiesenen M &amp; A-Korrespondenz gehalten.</w:t>
            </w:r>
          </w:p>
        </w:tc>
      </w:tr>
    </w:tbl>
    <w:p w14:paraId="5B61F135" w14:textId="77777777" w:rsidR="00D67E55" w:rsidRDefault="00D67E55"/>
    <w:p w14:paraId="576F74DD" w14:textId="77777777" w:rsidR="00D67E55" w:rsidRDefault="00F266ED">
      <w:pPr>
        <w:pStyle w:val="21"/>
      </w:pPr>
      <w:r>
        <w:rPr>
          <w:rFonts w:ascii="Arial" w:hAnsi="Arial"/>
          <w:sz w:val="20"/>
        </w:rPr>
        <w:lastRenderedPageBreak/>
        <w:t>10. Was gemeinsam mit diesem Buch aufbewahrt werden sollte</w:t>
      </w:r>
    </w:p>
    <w:p w14:paraId="69E330BA" w14:textId="77777777" w:rsidR="00D67E55" w:rsidRDefault="00F266ED">
      <w:r>
        <w:t>• April 2024 E-Mail-Kette `Anfrage nach PrEP und Patenten`, Bilanz-/Kostenkorrespondenz Begusch und `Aufwand Patente ab 2005-23.xlsx`.</w:t>
      </w:r>
    </w:p>
    <w:p w14:paraId="4BD145BB" w14:textId="77777777" w:rsidR="00D67E55" w:rsidRDefault="00F266ED">
      <w:r>
        <w:t>Jahresabschluss MIF 2023/2024 mit immateriellen Vermögenswerten/Royalty-Zahlen und künftigen genauen wirtschaftspolitischen Überleitungs-/Steuervermerken, falls gefunden.</w:t>
      </w:r>
    </w:p>
    <w:p w14:paraId="366D01EF" w14:textId="77777777" w:rsidR="00D67E55" w:rsidRDefault="00F266ED">
      <w:r>
        <w:t>TRACK F 2022-2023-Materialien: GA-2022-98-BES-11, Quellbank-/Quelldatensätze, Lieferantenvergleiche und E-Mails 28.01/10.02/05.05/19.05.2023.</w:t>
      </w:r>
    </w:p>
    <w:p w14:paraId="0EEFEFFD" w14:textId="77777777" w:rsidR="00D67E55" w:rsidRDefault="00F266ED">
      <w:r>
        <w:t>WAZIFI-Handelslizenz- und Gründungsdokumente und Innovexa-Geschäftslizenz - damit eine zukünftige Version dokumentieren kann, warum das erste Fahrzeug der Vereinigten Arabischen Emirate nicht passte.</w:t>
      </w:r>
    </w:p>
    <w:p w14:paraId="25D67F4C" w14:textId="77777777" w:rsidR="00D67E55" w:rsidRDefault="00F266ED">
      <w:r>
        <w:t>• MIF-Gehaltsabrechnungen / Beschäftigungsaufzeichnungen nach dem Wechsel des CEO und separaten Unternehmensgenehmigungen / PoA - um die Beschäftigungsrolle nicht mit der rechtlichen Autorität zu verwechseln.</w:t>
      </w:r>
    </w:p>
    <w:p w14:paraId="30DE5DE7" w14:textId="77777777" w:rsidR="00D67E55" w:rsidRDefault="00F266ED">
      <w:pPr>
        <w:ind w:left="259" w:hanging="173"/>
      </w:pPr>
      <w:r>
        <w:t>Konsolidierung 31.07.24 und Legal Risk Matrix – als frühe Dokumente zur Zielarchitektur und Schulung des Projekts.</w:t>
      </w:r>
    </w:p>
    <w:p w14:paraId="5DC531D8" w14:textId="77777777" w:rsidR="00D67E55" w:rsidRDefault="00F266ED">
      <w:pPr>
        <w:ind w:left="259" w:hanging="173"/>
      </w:pPr>
      <w:r>
        <w:t>Roadmap - Konsolidierung und Term Sheet Project Estate vom 31.08.2024.</w:t>
      </w:r>
    </w:p>
    <w:p w14:paraId="71161DE2" w14:textId="77777777" w:rsidR="00D67E55" w:rsidRDefault="00F266ED">
      <w:pPr>
        <w:ind w:left="259" w:hanging="173"/>
      </w:pPr>
      <w:r>
        <w:t>Status Megainpharm - Infamed 30.08.2024 (alle IP) und zugehöriges IP-Inventar.</w:t>
      </w:r>
    </w:p>
    <w:p w14:paraId="78854EF3" w14:textId="77777777" w:rsidR="00D67E55" w:rsidRDefault="00F266ED">
      <w:pPr>
        <w:ind w:left="259" w:hanging="173"/>
      </w:pPr>
      <w:r>
        <w:t>• Korrespondenz Weißer Platz 17-23.08.2024 auf Innovexa / KYC Sidorov.</w:t>
      </w:r>
    </w:p>
    <w:p w14:paraId="2D32B731" w14:textId="77777777" w:rsidR="00D67E55" w:rsidRDefault="00F266ED">
      <w:pPr>
        <w:ind w:left="259" w:hanging="173"/>
      </w:pPr>
      <w:r>
        <w:t>Schreiben 04.09.2024 über Geschäftsbedingungen und alle Materialien, wo der Vertragsbetrag erscheint.</w:t>
      </w:r>
    </w:p>
    <w:p w14:paraId="0DAA9078" w14:textId="77777777" w:rsidR="00D67E55" w:rsidRDefault="00F266ED">
      <w:pPr>
        <w:ind w:left="259" w:hanging="173"/>
      </w:pPr>
      <w:r>
        <w:t>Käufer SPA "Infamed K", aufeinanderfolgende Redlines und NSP Korrespondenz April-Mai 2025.</w:t>
      </w:r>
    </w:p>
    <w:p w14:paraId="637511E0" w14:textId="77777777" w:rsidR="00D67E55" w:rsidRDefault="00F266ED">
      <w:pPr>
        <w:ind w:left="259" w:hanging="173"/>
      </w:pPr>
      <w:r>
        <w:t>Schreiben der NSP vom 15.05.2025 zur Divergenz der vertretenen Rechtsinteressen.</w:t>
      </w:r>
    </w:p>
    <w:p w14:paraId="1D3BA6C1" w14:textId="77777777" w:rsidR="00D67E55" w:rsidRDefault="00F266ED">
      <w:pPr>
        <w:ind w:left="259" w:hanging="173"/>
      </w:pPr>
      <w:r>
        <w:t>Dokumente über Eigentum / Governance MIF im Mai-Juni 2025.</w:t>
      </w:r>
    </w:p>
    <w:p w14:paraId="1478EE91" w14:textId="77777777" w:rsidR="00D67E55" w:rsidRDefault="00F266ED">
      <w:pPr>
        <w:ind w:left="259" w:hanging="173"/>
      </w:pPr>
      <w:r>
        <w:t>Andrey Gorokhovs Cession → GD und der gesamte Rechtsstreitigkeitenblock, in dem es verwendet wurde.</w:t>
      </w:r>
    </w:p>
    <w:p w14:paraId="7E64E9D8" w14:textId="77777777" w:rsidR="00D67E55" w:rsidRDefault="00F266ED">
      <w:pPr>
        <w:ind w:left="259" w:hanging="173"/>
      </w:pPr>
      <w:r>
        <w:lastRenderedPageBreak/>
        <w:t>Native Dateien und Metadaten. PDF-Kopie ist leicht zu lesen, sollte aber das Original nicht ersetzen.</w:t>
      </w:r>
    </w:p>
    <w:p w14:paraId="006BF404" w14:textId="77777777" w:rsidR="00D67E55" w:rsidRDefault="00F266ED">
      <w:r>
        <w:t>Das Original „RE June Invoice.eml vom 08.07.2024 zusammen mit dem russisch-deutschen PoA-Entwurf und seinem forensischen Hash.</w:t>
      </w:r>
    </w:p>
    <w:p w14:paraId="487CEA56" w14:textId="77777777" w:rsidR="00D67E55" w:rsidRDefault="00F266ED">
      <w:r>
        <w:t>Aktenkopien: bestritten unterzeichnet PoA 08.07, MIF-Innovexa-Abkommen 26.08, Zusatzvereinbarung 27.09.</w:t>
      </w:r>
    </w:p>
    <w:p w14:paraId="7B36B783" w14:textId="77777777" w:rsidR="00D67E55" w:rsidRDefault="00F266ED">
      <w:r>
        <w:t>E-Mail 18/19.09.2024 und beide Original-Word-Anhänge (NSP und Patentvertreter).</w:t>
      </w:r>
    </w:p>
    <w:p w14:paraId="7D2B12D3" w14:textId="77777777" w:rsidR="00D67E55" w:rsidRDefault="00F266ED">
      <w:r>
        <w:t>ASG Wien Urteil 13.04.2026, Korrespondenz von Lieferung/Beschwerde und vollständige WKStA-Aufzeichnung nach Bestellung 12.08.2026.</w:t>
      </w:r>
    </w:p>
    <w:p w14:paraId="787E1AC4" w14:textId="77777777" w:rsidR="00D67E55" w:rsidRDefault="00F266ED">
      <w:pPr>
        <w:pStyle w:val="21"/>
      </w:pPr>
      <w:r>
        <w:rPr>
          <w:rFonts w:ascii="Arial" w:hAnsi="Arial"/>
          <w:sz w:val="20"/>
        </w:rPr>
        <w:t>10A. Kumulatives Thesenregister</w:t>
      </w:r>
    </w:p>
    <w:p w14:paraId="18D5C39F" w14:textId="77777777" w:rsidR="00D67E55" w:rsidRDefault="00F266ED">
      <w:r>
        <w:t>Beginnend mit v5 muss das Familienarchiv nach dem gleichen Prinzip wie der juristische Master aktualisiert werden: keine wesentliche These verschwindet still. Wenn ein neues Dokument das Bild ändert, wird die alte Position als verfeinert, widerlegt oder ersetzt anstatt gelöscht, und es ist eine Verteidigung gegen den gefährlichsten Gedächtnisfehler, die Vergangenheit diskret in neues Wissen umzuschreiben.</w:t>
      </w:r>
    </w:p>
    <w:p w14:paraId="5BBE6C53" w14:textId="77777777" w:rsidR="00D67E55" w:rsidRDefault="00F266ED">
      <w:r>
        <w:t>Es gibt vier verschiedene Kategorien: was durch das Dokument bestätigt wird; was ich mich erinnere, aber noch nicht bestätigt habe; was die Version der anderen Seite ist; was immer noch die Hypothese ist. Nachkommen brauchen kein Archiv, in dem meine Version gewonnen hat; sie brauchen ein Archiv, in dem Sie verstehen können, warum die Versionen auseinandergegangen sind.</w:t>
      </w:r>
    </w:p>
    <w:p w14:paraId="334E8385" w14:textId="77777777" w:rsidR="00D67E55" w:rsidRDefault="00F266ED">
      <w:pPr>
        <w:pStyle w:val="21"/>
      </w:pPr>
      <w:r>
        <w:rPr>
          <w:rFonts w:ascii="Arial" w:hAnsi="Arial"/>
          <w:sz w:val="20"/>
        </w:rPr>
        <w:t>11. Familienanhang: Stammbaum</w:t>
      </w:r>
    </w:p>
    <w:p w14:paraId="66185736" w14:textId="77777777" w:rsidR="00D67E55" w:rsidRDefault="00F266ED">
      <w:pPr>
        <w:spacing w:line="240" w:lineRule="auto" w:before="0" w:after="0"/>
      </w:pPr>
      <w:r>
        <w:t>Der AYU Gorokhov-Panoramabaum 2019 wird als separate Familienarchivdatei gespeichert. Im A5-Format wird er unlesbar, so dass das Buch eine direkte Linie von Gattungen und biographischen Aufsätzen enthält, und der vollständige Panoramabaum sollte separat in einem großen Format gespeichert und gedruckt werden.</w:t>
      </w:r>
    </w:p>
    <w:p w14:paraId="4ED6A0E9" w14:textId="77777777" w:rsidR="00D67E55" w:rsidRDefault="00F266ED">
      <w:pPr>
        <w:pStyle w:val="21"/>
        <w:pageBreakBefore/>
      </w:pPr>
      <w:r>
        <w:rPr>
          <w:rFonts w:ascii="Arial" w:hAnsi="Arial"/>
          <w:sz w:val="20"/>
        </w:rPr>
        <w:lastRenderedPageBreak/>
        <w:t>Letzter Eintrag</w:t>
      </w:r>
    </w:p>
    <w:p w14:paraId="1AE7F2DF" w14:textId="77777777" w:rsidR="00D67E55" w:rsidRDefault="00F266ED">
      <w:pPr>
        <w:spacing w:line="240" w:lineRule="auto" w:before="0" w:after="0"/>
      </w:pPr>
      <w:r>
        <w:t>Ich verlasse bewusst die Antwort in diesem Buch, in dem die Antwort noch nicht bekannt ist. Die Arbeit an v4-v5 hat gezeigt, warum: Vertrag 26.08, Beilage 27.09, die Original-E-Mail 08.07, die April-IP-Projekt-Ursprungskette und die frühere TRACK F 2022-2023. Jedes neue Primärdokument änderte nicht nur die Details, sondern auch das Kausalmodell. Wenn es Bestätigungen oder Verweigerungen des Gedächtnisses des mündlichen Gesprächs 17.08, der ursprünglichen Vollmacht der Anwälte, der Abstimmung der wirtschaftlichen Bedingungen und der Steuerlogik gibt, Arbeitsdokumente, die Berufungen und die frühere TRACK F 2022-2023. Jedes neue Primärdokument kann nur als eigene Quelle der relevanten Dokumente aktualisiert werden, dann kann die Familie nicht abgerufen werden.</w:t>
      </w:r>
    </w:p>
    <w:p w14:paraId="4F5D21E3" w14:textId="77777777" w:rsidR="00D67E55" w:rsidRDefault="00F266ED">
      <w:pPr>
        <w:spacing w:line="240" w:lineRule="auto" w:before="0" w:after="0"/>
      </w:pPr>
      <w:r>
        <w:t>Das Gedächtnis muss lebendig, aber nicht angenehm sein, ein Dokument muss unser Vertrauen dort einschränken, wo wir mehr wissen wollen, als wir wirklich wissen.</w:t>
      </w:r>
    </w:p>
    <w:sectPr w:rsidR="00D67E55" w:rsidSect="00034616">
      <w:headerReference w:type="even" r:id="rId8"/>
      <w:headerReference w:type="default" r:id="rId9"/>
      <w:footerReference w:type="even" r:id="rId10"/>
      <w:footerReference w:type="default" r:id="rId11"/>
      <w:headerReference w:type="first" r:id="rId12"/>
      <w:footerReference w:type="first" r:id="rId13"/>
      <w:pgSz w:w="8391" w:h="11906"/>
      <w:pgMar w:top="1020" w:right="964" w:bottom="907"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C0D4B" w14:textId="77777777" w:rsidR="00F266ED" w:rsidRDefault="00F266ED">
      <w:pPr>
        <w:spacing w:after="0" w:line="240" w:lineRule="auto"/>
      </w:pPr>
      <w:r>
        <w:separator/>
      </w:r>
    </w:p>
  </w:endnote>
  <w:endnote w:type="continuationSeparator" w:id="0">
    <w:p w14:paraId="630CA87D" w14:textId="77777777" w:rsidR="00F266ED" w:rsidRDefault="00F26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iberation Sans">
    <w:panose1 w:val="00000000000000000000"/>
    <w:charset w:val="00"/>
    <w:family w:val="roman"/>
    <w:notTrueType/>
    <w:pitch w:val="default"/>
  </w:font>
  <w:font w:name="Liberation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257A" w14:textId="77777777" w:rsidR="00D67E55" w:rsidRDefault="00D67E5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0A83" w14:textId="77777777" w:rsidR="00D67E55" w:rsidRDefault="00F266ED">
    <w:pPr>
      <w:pStyle w:val="a7"/>
      <w:jc w:val="center"/>
    </w:pPr>
    <w:r>
      <w:rPr>
        <w:color w:val="6C7A80"/>
        <w:sz w:val="16"/>
      </w:rPr>
      <w:t>Memoiren von Evgeny Gorokhov · Website-Ausgabe · 3.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3E6C" w14:textId="77777777" w:rsidR="00D67E55" w:rsidRDefault="00D67E5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284F4" w14:textId="77777777" w:rsidR="00F266ED" w:rsidRDefault="00F266ED">
      <w:pPr>
        <w:spacing w:after="0" w:line="240" w:lineRule="auto"/>
      </w:pPr>
      <w:r>
        <w:separator/>
      </w:r>
    </w:p>
  </w:footnote>
  <w:footnote w:type="continuationSeparator" w:id="0">
    <w:p w14:paraId="32D9FCB7" w14:textId="77777777" w:rsidR="00F266ED" w:rsidRDefault="00F26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4A31" w14:textId="77777777" w:rsidR="00D67E55" w:rsidRDefault="00D67E5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04A2" w14:textId="77777777" w:rsidR="00D67E55" w:rsidRDefault="00F266ED">
    <w:pPr>
      <w:pStyle w:val="a5"/>
      <w:jc w:val="right"/>
    </w:pPr>
    <w:r>
      <w:rPr>
        <w:color w:val="6C7A80"/>
        <w:sz w:val="16"/>
      </w:rPr>
      <w:t>Memoiren von Evgeny Gorokhov · Nach Miramistin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D1D5" w14:textId="77777777" w:rsidR="00D67E55" w:rsidRDefault="00D67E5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64264869">
    <w:abstractNumId w:val="8"/>
  </w:num>
  <w:num w:numId="2" w16cid:durableId="1753089616">
    <w:abstractNumId w:val="6"/>
  </w:num>
  <w:num w:numId="3" w16cid:durableId="1631011646">
    <w:abstractNumId w:val="5"/>
  </w:num>
  <w:num w:numId="4" w16cid:durableId="1577400145">
    <w:abstractNumId w:val="4"/>
  </w:num>
  <w:num w:numId="5" w16cid:durableId="98456446">
    <w:abstractNumId w:val="7"/>
  </w:num>
  <w:num w:numId="6" w16cid:durableId="314798546">
    <w:abstractNumId w:val="3"/>
  </w:num>
  <w:num w:numId="7" w16cid:durableId="1425417326">
    <w:abstractNumId w:val="2"/>
  </w:num>
  <w:num w:numId="8" w16cid:durableId="85345473">
    <w:abstractNumId w:val="1"/>
  </w:num>
  <w:num w:numId="9" w16cid:durableId="127671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05275"/>
    <w:rsid w:val="00AA1D8D"/>
    <w:rsid w:val="00B47730"/>
    <w:rsid w:val="00CB0664"/>
    <w:rsid w:val="00D67E55"/>
    <w:rsid w:val="00F266ED"/>
    <w:rsid w:val="00F463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7124DE"/>
  <w14:defaultImageDpi w14:val="300"/>
  <w15:docId w15:val="{C2AD926F-342B-44C7-91FB-98F69A7C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ind w:firstLine="283"/>
      <w:jc w:val="both"/>
    </w:pPr>
    <w:rPr>
      <w:rFonts w:ascii="Arial" w:hAnsi="Arial"/>
      <w:sz w:val="20"/>
    </w:rPr>
  </w:style>
  <w:style w:type="paragraph" w:styleId="1">
    <w:name w:val="heading 1"/>
    <w:basedOn w:val="a1"/>
    <w:next w:val="a1"/>
    <w:link w:val="10"/>
    <w:uiPriority w:val="9"/>
    <w:qFormat/>
    <w:rsid w:val="00FC693F"/>
    <w:pPr>
      <w:keepNext/>
      <w:keepLines/>
      <w:spacing w:before="200"/>
      <w:jc w:val="left"/>
      <w:outlineLvl w:val="0"/>
    </w:pPr>
    <w:rPr>
      <w:rFonts w:asciiTheme="majorHAnsi" w:eastAsiaTheme="majorEastAsia" w:hAnsiTheme="majorHAnsi" w:cstheme="majorBidi"/>
      <w:b/>
      <w:bCs/>
      <w:color w:val="1F4E5F"/>
      <w:sz w:val="32"/>
      <w:szCs w:val="28"/>
    </w:rPr>
  </w:style>
  <w:style w:type="paragraph" w:styleId="21">
    <w:name w:val="heading 2"/>
    <w:basedOn w:val="a1"/>
    <w:next w:val="a1"/>
    <w:link w:val="22"/>
    <w:uiPriority w:val="9"/>
    <w:unhideWhenUsed/>
    <w:qFormat/>
    <w:rsid w:val="00FC693F"/>
    <w:pPr>
      <w:keepNext/>
      <w:keepLines/>
      <w:spacing w:before="200"/>
      <w:jc w:val="left"/>
      <w:outlineLvl w:val="1"/>
    </w:pPr>
    <w:rPr>
      <w:rFonts w:asciiTheme="majorHAnsi" w:eastAsiaTheme="majorEastAsia" w:hAnsiTheme="majorHAnsi" w:cstheme="majorBidi"/>
      <w:b/>
      <w:bCs/>
      <w:color w:val="2F6F7E"/>
      <w:sz w:val="25"/>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2F6F7E"/>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283"/>
    </w:pPr>
    <w:rPr>
      <w:rFonts w:asciiTheme="majorHAnsi" w:eastAsiaTheme="majorEastAsia" w:hAnsiTheme="majorHAnsi" w:cstheme="majorBidi"/>
      <w:b/>
      <w:i/>
      <w:iCs/>
      <w:color w:val="4F81BD" w:themeColor="accent1"/>
      <w:spacing w:val="15"/>
      <w:sz w:val="26"/>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Title">
    <w:name w:val="PartTitle"/>
    <w:basedOn w:val="aa"/>
    <w:pPr>
      <w:ind w:firstLine="0"/>
    </w:pPr>
    <w:rPr>
      <w:rFonts w:ascii="Liberation Sans" w:hAnsi="Liberation Sans"/>
      <w:sz w:val="44"/>
    </w:rPr>
  </w:style>
  <w:style w:type="paragraph" w:customStyle="1" w:styleId="ChapterLead">
    <w:name w:val="ChapterLead"/>
    <w:basedOn w:val="a1"/>
    <w:pPr>
      <w:ind w:firstLine="0"/>
    </w:pPr>
    <w:rPr>
      <w:rFonts w:ascii="Liberation Serif" w:hAnsi="Liberation Serif"/>
      <w:i/>
      <w:sz w:val="23"/>
    </w:rPr>
  </w:style>
  <w:style w:type="paragraph" w:customStyle="1" w:styleId="ArchiveLabel">
    <w:name w:val="ArchiveLabel"/>
    <w:basedOn w:val="a1"/>
    <w:pPr>
      <w:ind w:firstLine="0"/>
    </w:pPr>
    <w:rPr>
      <w:rFonts w:ascii="Liberation Serif" w:hAnsi="Liberation Serif"/>
      <w:b/>
      <w:sz w:val="17"/>
    </w:rPr>
  </w:style>
  <w:style w:type="paragraph" w:customStyle="1" w:styleId="SmallNote">
    <w:name w:val="SmallNote"/>
    <w:basedOn w:val="a1"/>
    <w:pPr>
      <w:ind w:firstLine="0"/>
    </w:pPr>
    <w:rPr>
      <w:rFonts w:ascii="Liberation Serif" w:hAnsi="Liberation Serif"/>
      <w:sz w:val="17"/>
    </w:rPr>
  </w:style>
  <w:style w:type="paragraph" w:customStyle="1" w:styleId="NoIndent">
    <w:name w:val="NoIndent"/>
    <w:basedOn w:val="a1"/>
    <w:pPr>
      <w:ind w:firstLine="0"/>
    </w:pPr>
    <w:rPr>
      <w:rFonts w:ascii="Liberation Serif" w:hAnsi="Liberation Serif"/>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18606</Words>
  <Characters>106058</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 Miramistin — Memoiren von Evgeny Gorokhov</dc:title>
  <dc:subject>Семья, Infamed, Megainpharm, IP, Innovexa и судебные процессы</dc:subject>
  <dc:creator>Евгений Горохов</dc:creator>
  <cp:keywords>Гороховы; семейная история; Мирамистин; мемуары; родословная</cp:keywords>
  <dc:description>Семейная редакция: disputed matters изложены с разграничением фактов, позиций и процессуальных статусов.</dc:description>
  <cp:lastModifiedBy>Evgeny Gorokhov</cp:lastModifiedBy>
  <cp:revision>1</cp:revision>
  <dcterms:created xsi:type="dcterms:W3CDTF">2013-12-23T23:15:00Z</dcterms:created>
  <dcterms:modified xsi:type="dcterms:W3CDTF">2026-09-03T10:10:00Z</dcterms:modified>
  <cp:category/>
  <dc:language>de-AT</dc:language>
</cp:coreProperties>
</file>